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EC" w:rsidRDefault="005F69EC" w:rsidP="005F69EC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bookmarkStart w:id="0" w:name="OLE_LINK1"/>
      <w:bookmarkStart w:id="1" w:name="OLE_LINK2"/>
      <w:r w:rsidRPr="005F69EC">
        <w:rPr>
          <w:rFonts w:ascii="黑体" w:eastAsia="黑体" w:hAnsi="黑体" w:hint="eastAsia"/>
          <w:sz w:val="32"/>
          <w:szCs w:val="32"/>
        </w:rPr>
        <w:t>兴银基金固收周报（2017.11.6-2017.11.10）</w:t>
      </w:r>
    </w:p>
    <w:p w:rsidR="005F69EC" w:rsidRPr="005F69EC" w:rsidRDefault="005F69EC" w:rsidP="005F69EC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3A1B08" w:rsidRPr="005F69EC" w:rsidRDefault="005F69EC" w:rsidP="00E40720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="0061496E" w:rsidRPr="005F69EC">
        <w:rPr>
          <w:rFonts w:asciiTheme="minorEastAsia" w:eastAsiaTheme="minorEastAsia" w:hAnsiTheme="minorEastAsia" w:hint="eastAsia"/>
          <w:b/>
          <w:szCs w:val="21"/>
        </w:rPr>
        <w:t>摘要：</w:t>
      </w:r>
      <w:r w:rsidR="00004A6F" w:rsidRPr="005F69EC">
        <w:rPr>
          <w:rFonts w:asciiTheme="minorEastAsia" w:eastAsiaTheme="minorEastAsia" w:hAnsiTheme="minorEastAsia" w:hint="eastAsia"/>
          <w:b/>
          <w:szCs w:val="21"/>
        </w:rPr>
        <w:t>宏观方面：</w:t>
      </w:r>
      <w:r w:rsidR="00E40720" w:rsidRPr="005F69EC">
        <w:rPr>
          <w:rFonts w:asciiTheme="minorEastAsia" w:eastAsiaTheme="minorEastAsia" w:hAnsiTheme="minorEastAsia" w:hint="eastAsia"/>
          <w:b/>
          <w:szCs w:val="21"/>
        </w:rPr>
        <w:t>国际方面，传言特朗普政府推迟税改，欧美债券市场普遍下跌</w:t>
      </w:r>
      <w:r w:rsidR="006551AC" w:rsidRPr="005F69EC">
        <w:rPr>
          <w:rFonts w:asciiTheme="minorEastAsia" w:eastAsiaTheme="minorEastAsia" w:hAnsiTheme="minorEastAsia" w:hint="eastAsia"/>
          <w:b/>
          <w:szCs w:val="21"/>
        </w:rPr>
        <w:t>；</w:t>
      </w:r>
      <w:r w:rsidR="00E40720" w:rsidRPr="005F69EC">
        <w:rPr>
          <w:rFonts w:asciiTheme="minorEastAsia" w:eastAsiaTheme="minorEastAsia" w:hAnsiTheme="minorEastAsia" w:hint="eastAsia"/>
          <w:b/>
          <w:szCs w:val="21"/>
        </w:rPr>
        <w:t>国内方面，10月社会融资规模不及预期，环比回落。本周资金面逐步小幅收紧，市场处于紧平衡状态，利率小幅抬升，下周公开市场到期量较大，需留意资金面变动。</w:t>
      </w:r>
      <w:r w:rsidR="003A1B08" w:rsidRPr="005F69EC">
        <w:rPr>
          <w:rFonts w:asciiTheme="minorEastAsia" w:eastAsiaTheme="minorEastAsia" w:hAnsiTheme="minorEastAsia" w:hint="eastAsia"/>
          <w:b/>
          <w:szCs w:val="21"/>
        </w:rPr>
        <w:t>近期建议，鉴于债市对监管政策和基本面的忧虑短期内未能消除，资金面波动压力较大，建议谨慎。</w:t>
      </w:r>
    </w:p>
    <w:p w:rsidR="00044DF9" w:rsidRPr="005F69EC" w:rsidRDefault="00044DF9" w:rsidP="006551A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</w:p>
    <w:p w:rsidR="006551AC" w:rsidRPr="005F69EC" w:rsidRDefault="005F69EC" w:rsidP="006551AC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="006A71D0" w:rsidRPr="005F69EC">
        <w:rPr>
          <w:rFonts w:asciiTheme="minorEastAsia" w:eastAsiaTheme="minorEastAsia" w:hAnsiTheme="minorEastAsia" w:hint="eastAsia"/>
          <w:b/>
          <w:szCs w:val="21"/>
        </w:rPr>
        <w:t>一、国际方面：</w:t>
      </w:r>
      <w:r w:rsidR="006551AC" w:rsidRPr="005F69EC">
        <w:rPr>
          <w:rFonts w:asciiTheme="minorEastAsia" w:eastAsiaTheme="minorEastAsia" w:hAnsiTheme="minorEastAsia" w:hint="eastAsia"/>
          <w:b/>
          <w:szCs w:val="21"/>
        </w:rPr>
        <w:t>欧洲央行维持三大利率不变，削减月度购债计划300亿</w:t>
      </w:r>
      <w:r w:rsidR="00551102" w:rsidRPr="005F69EC">
        <w:rPr>
          <w:rFonts w:asciiTheme="minorEastAsia" w:eastAsiaTheme="minorEastAsia" w:hAnsiTheme="minorEastAsia" w:hint="eastAsia"/>
          <w:b/>
          <w:szCs w:val="21"/>
        </w:rPr>
        <w:t>；</w:t>
      </w:r>
      <w:r w:rsidR="00E40720" w:rsidRPr="005F69EC">
        <w:rPr>
          <w:rFonts w:asciiTheme="minorEastAsia" w:eastAsiaTheme="minorEastAsia" w:hAnsiTheme="minorEastAsia" w:hint="eastAsia"/>
          <w:b/>
          <w:szCs w:val="21"/>
        </w:rPr>
        <w:t>国内方面：</w:t>
      </w:r>
      <w:r w:rsidR="006551AC" w:rsidRPr="005F69EC">
        <w:rPr>
          <w:rFonts w:asciiTheme="minorEastAsia" w:eastAsiaTheme="minorEastAsia" w:hAnsiTheme="minorEastAsia"/>
          <w:b/>
          <w:szCs w:val="21"/>
        </w:rPr>
        <w:t>9</w:t>
      </w:r>
      <w:r w:rsidR="006551AC" w:rsidRPr="005F69EC">
        <w:rPr>
          <w:rFonts w:asciiTheme="minorEastAsia" w:eastAsiaTheme="minorEastAsia" w:hAnsiTheme="minorEastAsia" w:hint="eastAsia"/>
          <w:b/>
          <w:szCs w:val="21"/>
        </w:rPr>
        <w:t>月工业企业利润总额同比增速</w:t>
      </w:r>
      <w:r w:rsidR="006551AC" w:rsidRPr="005F69EC">
        <w:rPr>
          <w:rFonts w:asciiTheme="minorEastAsia" w:eastAsiaTheme="minorEastAsia" w:hAnsiTheme="minorEastAsia"/>
          <w:b/>
          <w:szCs w:val="21"/>
        </w:rPr>
        <w:t>27.7%</w:t>
      </w:r>
      <w:r w:rsidR="006551AC" w:rsidRPr="005F69EC">
        <w:rPr>
          <w:rFonts w:asciiTheme="minorEastAsia" w:eastAsiaTheme="minorEastAsia" w:hAnsiTheme="minorEastAsia" w:hint="eastAsia"/>
          <w:b/>
          <w:szCs w:val="21"/>
        </w:rPr>
        <w:t>，较</w:t>
      </w:r>
      <w:r w:rsidR="006551AC" w:rsidRPr="005F69EC">
        <w:rPr>
          <w:rFonts w:asciiTheme="minorEastAsia" w:eastAsiaTheme="minorEastAsia" w:hAnsiTheme="minorEastAsia"/>
          <w:b/>
          <w:szCs w:val="21"/>
        </w:rPr>
        <w:t>8</w:t>
      </w:r>
      <w:r w:rsidR="006551AC" w:rsidRPr="005F69EC">
        <w:rPr>
          <w:rFonts w:asciiTheme="minorEastAsia" w:eastAsiaTheme="minorEastAsia" w:hAnsiTheme="minorEastAsia" w:hint="eastAsia"/>
          <w:b/>
          <w:szCs w:val="21"/>
        </w:rPr>
        <w:t>月继续上升。</w:t>
      </w:r>
    </w:p>
    <w:p w:rsidR="00551102" w:rsidRPr="005F69EC" w:rsidRDefault="00551102" w:rsidP="006551AC">
      <w:pPr>
        <w:spacing w:line="360" w:lineRule="auto"/>
        <w:ind w:firstLineChars="196" w:firstLine="413"/>
        <w:rPr>
          <w:rFonts w:asciiTheme="minorEastAsia" w:eastAsiaTheme="minorEastAsia" w:hAnsiTheme="minorEastAsia"/>
          <w:b/>
          <w:szCs w:val="21"/>
        </w:rPr>
      </w:pPr>
      <w:r w:rsidRPr="005F69EC">
        <w:rPr>
          <w:rFonts w:asciiTheme="minorEastAsia" w:eastAsiaTheme="minorEastAsia" w:hAnsiTheme="minorEastAsia" w:hint="eastAsia"/>
          <w:b/>
          <w:szCs w:val="21"/>
        </w:rPr>
        <w:t>国际方面，</w:t>
      </w:r>
      <w:r w:rsidR="00704652" w:rsidRPr="005F69EC">
        <w:rPr>
          <w:rFonts w:asciiTheme="minorEastAsia" w:eastAsiaTheme="minorEastAsia" w:hAnsiTheme="minorEastAsia" w:hint="eastAsia"/>
          <w:b/>
          <w:szCs w:val="21"/>
        </w:rPr>
        <w:t>传言特朗普政府推迟税改，欧美债券市场普遍下跌。</w:t>
      </w:r>
      <w:r w:rsidR="00704652" w:rsidRPr="005F69EC">
        <w:rPr>
          <w:rFonts w:asciiTheme="minorEastAsia" w:eastAsiaTheme="minorEastAsia" w:hAnsiTheme="minorEastAsia"/>
          <w:b/>
          <w:szCs w:val="21"/>
        </w:rPr>
        <w:t xml:space="preserve"> </w:t>
      </w:r>
    </w:p>
    <w:p w:rsidR="00704652" w:rsidRPr="005F69EC" w:rsidRDefault="00704652" w:rsidP="00704652">
      <w:pPr>
        <w:spacing w:line="360" w:lineRule="auto"/>
        <w:ind w:firstLineChars="196" w:firstLine="412"/>
        <w:rPr>
          <w:rFonts w:asciiTheme="minorEastAsia" w:eastAsiaTheme="minorEastAsia" w:hAnsiTheme="minorEastAsia" w:cstheme="minorBidi"/>
          <w:szCs w:val="21"/>
        </w:rPr>
      </w:pPr>
      <w:r w:rsidRPr="005F69EC">
        <w:rPr>
          <w:rFonts w:asciiTheme="minorEastAsia" w:eastAsiaTheme="minorEastAsia" w:hAnsiTheme="minorEastAsia" w:cstheme="minorBidi" w:hint="eastAsia"/>
          <w:szCs w:val="21"/>
        </w:rPr>
        <w:t>上周欧美债券市场普遍下跌，高收益债收益率上行明显，其他品种价格也有所下跌，其中美国高收益债和全球高收益债分别上行32bp和30bp，可能与近期传言的特朗普政府推迟税改有关。</w:t>
      </w:r>
    </w:p>
    <w:p w:rsidR="00551102" w:rsidRPr="005F69EC" w:rsidRDefault="00551102" w:rsidP="00704652">
      <w:pPr>
        <w:spacing w:line="360" w:lineRule="auto"/>
        <w:ind w:firstLineChars="196" w:firstLine="413"/>
        <w:rPr>
          <w:rFonts w:asciiTheme="minorEastAsia" w:eastAsiaTheme="minorEastAsia" w:hAnsiTheme="minorEastAsia"/>
          <w:b/>
          <w:szCs w:val="21"/>
        </w:rPr>
      </w:pPr>
      <w:r w:rsidRPr="005F69EC">
        <w:rPr>
          <w:rFonts w:asciiTheme="minorEastAsia" w:eastAsiaTheme="minorEastAsia" w:hAnsiTheme="minorEastAsia" w:hint="eastAsia"/>
          <w:b/>
          <w:szCs w:val="21"/>
        </w:rPr>
        <w:t>国内方面，</w:t>
      </w:r>
      <w:r w:rsidR="008516F5" w:rsidRPr="005F69EC">
        <w:rPr>
          <w:rFonts w:asciiTheme="minorEastAsia" w:eastAsiaTheme="minorEastAsia" w:hAnsiTheme="minorEastAsia" w:hint="eastAsia"/>
          <w:b/>
          <w:szCs w:val="21"/>
        </w:rPr>
        <w:t>10月社会融资规模不及预期，环比回落。</w:t>
      </w:r>
      <w:r w:rsidR="008516F5" w:rsidRPr="005F69EC">
        <w:rPr>
          <w:rFonts w:asciiTheme="minorEastAsia" w:eastAsiaTheme="minorEastAsia" w:hAnsiTheme="minorEastAsia"/>
          <w:b/>
          <w:szCs w:val="21"/>
        </w:rPr>
        <w:t xml:space="preserve"> </w:t>
      </w:r>
    </w:p>
    <w:p w:rsidR="007D5ABC" w:rsidRPr="005F69EC" w:rsidRDefault="008516F5" w:rsidP="00704652">
      <w:pPr>
        <w:spacing w:line="360" w:lineRule="auto"/>
        <w:ind w:firstLineChars="200" w:firstLine="420"/>
        <w:rPr>
          <w:rFonts w:asciiTheme="minorEastAsia" w:eastAsiaTheme="minorEastAsia" w:hAnsiTheme="minorEastAsia" w:cstheme="minorBidi"/>
          <w:szCs w:val="21"/>
        </w:rPr>
      </w:pPr>
      <w:r w:rsidRPr="005F69EC">
        <w:rPr>
          <w:rFonts w:asciiTheme="minorEastAsia" w:eastAsiaTheme="minorEastAsia" w:hAnsiTheme="minorEastAsia" w:cs="Times New Roman"/>
          <w:szCs w:val="21"/>
        </w:rPr>
        <w:t>10</w:t>
      </w:r>
      <w:r w:rsidRPr="005F69EC">
        <w:rPr>
          <w:rFonts w:asciiTheme="minorEastAsia" w:eastAsiaTheme="minorEastAsia" w:hAnsiTheme="minorEastAsia"/>
          <w:szCs w:val="21"/>
        </w:rPr>
        <w:t>月社会融资规模</w:t>
      </w:r>
      <w:r w:rsidRPr="005F69EC">
        <w:rPr>
          <w:rFonts w:asciiTheme="minorEastAsia" w:eastAsiaTheme="minorEastAsia" w:hAnsiTheme="minorEastAsia" w:cs="Times New Roman"/>
          <w:szCs w:val="21"/>
        </w:rPr>
        <w:t>10400</w:t>
      </w:r>
      <w:r w:rsidRPr="005F69EC">
        <w:rPr>
          <w:rFonts w:asciiTheme="minorEastAsia" w:eastAsiaTheme="minorEastAsia" w:hAnsiTheme="minorEastAsia"/>
          <w:szCs w:val="21"/>
        </w:rPr>
        <w:t>亿，预期</w:t>
      </w:r>
      <w:r w:rsidRPr="005F69EC">
        <w:rPr>
          <w:rFonts w:asciiTheme="minorEastAsia" w:eastAsiaTheme="minorEastAsia" w:hAnsiTheme="minorEastAsia" w:cs="Times New Roman"/>
          <w:szCs w:val="21"/>
        </w:rPr>
        <w:t>11000</w:t>
      </w:r>
      <w:r w:rsidRPr="005F69EC">
        <w:rPr>
          <w:rFonts w:asciiTheme="minorEastAsia" w:eastAsiaTheme="minorEastAsia" w:hAnsiTheme="minorEastAsia"/>
          <w:szCs w:val="21"/>
        </w:rPr>
        <w:t>亿，前值由</w:t>
      </w:r>
      <w:r w:rsidRPr="005F69EC">
        <w:rPr>
          <w:rFonts w:asciiTheme="minorEastAsia" w:eastAsiaTheme="minorEastAsia" w:hAnsiTheme="minorEastAsia" w:cs="Times New Roman"/>
          <w:szCs w:val="21"/>
        </w:rPr>
        <w:t>18200</w:t>
      </w:r>
      <w:r w:rsidRPr="005F69EC">
        <w:rPr>
          <w:rFonts w:asciiTheme="minorEastAsia" w:eastAsiaTheme="minorEastAsia" w:hAnsiTheme="minorEastAsia"/>
          <w:szCs w:val="21"/>
        </w:rPr>
        <w:t>亿修正为</w:t>
      </w:r>
      <w:r w:rsidRPr="005F69EC">
        <w:rPr>
          <w:rFonts w:asciiTheme="minorEastAsia" w:eastAsiaTheme="minorEastAsia" w:hAnsiTheme="minorEastAsia" w:cs="Times New Roman"/>
          <w:szCs w:val="21"/>
        </w:rPr>
        <w:t>18199</w:t>
      </w:r>
      <w:r w:rsidRPr="005F69EC">
        <w:rPr>
          <w:rFonts w:asciiTheme="minorEastAsia" w:eastAsiaTheme="minorEastAsia" w:hAnsiTheme="minorEastAsia"/>
          <w:szCs w:val="21"/>
        </w:rPr>
        <w:t>亿；新增人民币贷款</w:t>
      </w:r>
      <w:r w:rsidRPr="005F69EC">
        <w:rPr>
          <w:rFonts w:asciiTheme="minorEastAsia" w:eastAsiaTheme="minorEastAsia" w:hAnsiTheme="minorEastAsia" w:cs="Times New Roman"/>
          <w:szCs w:val="21"/>
        </w:rPr>
        <w:t>6632</w:t>
      </w:r>
      <w:r w:rsidRPr="005F69EC">
        <w:rPr>
          <w:rFonts w:asciiTheme="minorEastAsia" w:eastAsiaTheme="minorEastAsia" w:hAnsiTheme="minorEastAsia"/>
          <w:szCs w:val="21"/>
        </w:rPr>
        <w:t>亿，预期</w:t>
      </w:r>
      <w:r w:rsidRPr="005F69EC">
        <w:rPr>
          <w:rFonts w:asciiTheme="minorEastAsia" w:eastAsiaTheme="minorEastAsia" w:hAnsiTheme="minorEastAsia" w:cs="Times New Roman"/>
          <w:szCs w:val="21"/>
        </w:rPr>
        <w:t>7830</w:t>
      </w:r>
      <w:r w:rsidRPr="005F69EC">
        <w:rPr>
          <w:rFonts w:asciiTheme="minorEastAsia" w:eastAsiaTheme="minorEastAsia" w:hAnsiTheme="minorEastAsia"/>
          <w:szCs w:val="21"/>
        </w:rPr>
        <w:t>亿，前值</w:t>
      </w:r>
      <w:r w:rsidRPr="005F69EC">
        <w:rPr>
          <w:rFonts w:asciiTheme="minorEastAsia" w:eastAsiaTheme="minorEastAsia" w:hAnsiTheme="minorEastAsia" w:cs="Times New Roman"/>
          <w:szCs w:val="21"/>
        </w:rPr>
        <w:t>12700</w:t>
      </w:r>
      <w:r w:rsidRPr="005F69EC">
        <w:rPr>
          <w:rFonts w:asciiTheme="minorEastAsia" w:eastAsiaTheme="minorEastAsia" w:hAnsiTheme="minorEastAsia"/>
          <w:szCs w:val="21"/>
        </w:rPr>
        <w:t>亿；</w:t>
      </w:r>
      <w:r w:rsidR="00704652" w:rsidRPr="005F69EC">
        <w:rPr>
          <w:rFonts w:asciiTheme="minorEastAsia" w:eastAsiaTheme="minorEastAsia" w:hAnsiTheme="minorEastAsia" w:cs="Times New Roman" w:hint="eastAsia"/>
          <w:szCs w:val="21"/>
        </w:rPr>
        <w:t>此外</w:t>
      </w:r>
      <w:r w:rsidRPr="005F69EC">
        <w:rPr>
          <w:rFonts w:asciiTheme="minorEastAsia" w:eastAsiaTheme="minorEastAsia" w:hAnsiTheme="minorEastAsia" w:cs="Times New Roman"/>
          <w:szCs w:val="21"/>
        </w:rPr>
        <w:t>M2</w:t>
      </w:r>
      <w:r w:rsidR="00704652" w:rsidRPr="005F69EC">
        <w:rPr>
          <w:rFonts w:asciiTheme="minorEastAsia" w:eastAsiaTheme="minorEastAsia" w:hAnsiTheme="minorEastAsia" w:cs="Times New Roman" w:hint="eastAsia"/>
          <w:szCs w:val="21"/>
        </w:rPr>
        <w:t>、M1、M0</w:t>
      </w:r>
      <w:r w:rsidR="00704652" w:rsidRPr="005F69EC">
        <w:rPr>
          <w:rFonts w:asciiTheme="minorEastAsia" w:eastAsiaTheme="minorEastAsia" w:hAnsiTheme="minorEastAsia" w:cstheme="minorBidi" w:hint="eastAsia"/>
          <w:szCs w:val="21"/>
        </w:rPr>
        <w:t>同比增速均不及前值。</w:t>
      </w:r>
    </w:p>
    <w:p w:rsidR="00044DF9" w:rsidRPr="005F69EC" w:rsidRDefault="00044DF9" w:rsidP="00704652">
      <w:pPr>
        <w:spacing w:line="360" w:lineRule="auto"/>
        <w:ind w:firstLineChars="200" w:firstLine="420"/>
        <w:rPr>
          <w:rFonts w:asciiTheme="minorEastAsia" w:eastAsiaTheme="minorEastAsia" w:hAnsiTheme="minorEastAsia" w:cstheme="minorBidi"/>
          <w:szCs w:val="21"/>
        </w:rPr>
      </w:pPr>
    </w:p>
    <w:p w:rsidR="005F4658" w:rsidRPr="005F69EC" w:rsidRDefault="005F69EC" w:rsidP="005F4658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="0061496E" w:rsidRPr="005F69EC">
        <w:rPr>
          <w:rFonts w:asciiTheme="minorEastAsia" w:eastAsiaTheme="minorEastAsia" w:hAnsiTheme="minorEastAsia" w:hint="eastAsia"/>
          <w:b/>
          <w:szCs w:val="21"/>
        </w:rPr>
        <w:t>二、</w:t>
      </w:r>
      <w:r w:rsidR="0076605A" w:rsidRPr="005F69EC">
        <w:rPr>
          <w:rFonts w:asciiTheme="minorEastAsia" w:eastAsiaTheme="minorEastAsia" w:hAnsiTheme="minorEastAsia" w:hint="eastAsia"/>
          <w:b/>
          <w:szCs w:val="21"/>
        </w:rPr>
        <w:t>资金面：</w:t>
      </w:r>
      <w:r w:rsidR="005F4658" w:rsidRPr="005F69EC">
        <w:rPr>
          <w:rFonts w:asciiTheme="minorEastAsia" w:eastAsiaTheme="minorEastAsia" w:hAnsiTheme="minorEastAsia" w:hint="eastAsia"/>
          <w:b/>
          <w:szCs w:val="21"/>
        </w:rPr>
        <w:t>资金面：本周资金面逐步小幅收紧，市场处于紧平衡状态，利率小幅抬升，下周公开市场到期量较大，需留意资金面变动。</w:t>
      </w:r>
    </w:p>
    <w:p w:rsidR="005F4658" w:rsidRPr="005F69EC" w:rsidRDefault="005F4658" w:rsidP="005F4658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b/>
          <w:szCs w:val="21"/>
        </w:rPr>
        <w:t>回购：</w:t>
      </w:r>
      <w:r w:rsidRPr="005F69EC">
        <w:rPr>
          <w:rFonts w:asciiTheme="minorEastAsia" w:eastAsiaTheme="minorEastAsia" w:hAnsiTheme="minorEastAsia" w:hint="eastAsia"/>
          <w:szCs w:val="21"/>
        </w:rPr>
        <w:t>本周央行公开市场净回笼2300亿元，公开市场操作利率无变动，MLF到期回笼665亿元，下周公开市场到期3400亿元，另MLF回笼1225亿元。截止10日，银行间各期限回购加权利率较上周有所上行，隔夜品种加权利率升至2.83，成交量降至20000亿元，交易所GC001单周加权利率下行至3.13，日均成交量降至7500亿元。公开市场操作存量（回购+MLF）有所回落，银行间融资余额变动不大。本周资金面逐步小幅收紧，市场处于紧平衡状态，利率小幅抬升，下周公开市场到期量较大，需留意资金面变动。</w:t>
      </w:r>
    </w:p>
    <w:p w:rsidR="005F4658" w:rsidRPr="005F69EC" w:rsidRDefault="005F4658" w:rsidP="005F465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>央行公开市场操作情况</w:t>
      </w:r>
    </w:p>
    <w:p w:rsidR="005F4658" w:rsidRPr="005F69EC" w:rsidRDefault="005F4658" w:rsidP="005F4658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5274310" cy="2959986"/>
            <wp:effectExtent l="19050" t="0" r="254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9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EC" w:rsidRDefault="005F69EC" w:rsidP="005F4658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5F4658" w:rsidRPr="005F69EC" w:rsidRDefault="005F4658" w:rsidP="005F465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  <w:highlight w:val="yellow"/>
        </w:rPr>
      </w:pPr>
      <w:r w:rsidRPr="005F69EC">
        <w:rPr>
          <w:rFonts w:asciiTheme="minorEastAsia" w:eastAsiaTheme="minorEastAsia" w:hAnsiTheme="minorEastAsia" w:hint="eastAsia"/>
          <w:szCs w:val="21"/>
        </w:rPr>
        <w:t>近期银行间回购主要品种收益率较上周变动</w:t>
      </w:r>
    </w:p>
    <w:p w:rsidR="005F4658" w:rsidRPr="005F69EC" w:rsidRDefault="005F4658" w:rsidP="005F4658">
      <w:pPr>
        <w:spacing w:line="360" w:lineRule="auto"/>
        <w:rPr>
          <w:rFonts w:asciiTheme="minorEastAsia" w:eastAsiaTheme="minorEastAsia" w:hAnsiTheme="minorEastAsia"/>
          <w:color w:val="FF0000"/>
          <w:szCs w:val="21"/>
          <w:highlight w:val="yellow"/>
        </w:rPr>
      </w:pPr>
      <w:r w:rsidRPr="005F69EC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248150" cy="1733550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58" w:rsidRPr="005F69EC" w:rsidRDefault="005F4658" w:rsidP="005F4658">
      <w:pPr>
        <w:spacing w:line="360" w:lineRule="auto"/>
        <w:rPr>
          <w:rFonts w:asciiTheme="minorEastAsia" w:eastAsiaTheme="minorEastAsia" w:hAnsiTheme="minorEastAsia"/>
          <w:color w:val="FF0000"/>
          <w:szCs w:val="21"/>
          <w:highlight w:val="yellow"/>
        </w:rPr>
      </w:pPr>
      <w:r w:rsidRPr="005F69EC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667250" cy="1695450"/>
            <wp:effectExtent l="1905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EC" w:rsidRDefault="005F69EC" w:rsidP="005F4658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5F4658" w:rsidRPr="005F69EC" w:rsidRDefault="005F4658" w:rsidP="005F465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>交易所隔夜品种（GC001）利率变动情况</w:t>
      </w:r>
    </w:p>
    <w:p w:rsidR="005F4658" w:rsidRPr="005F69EC" w:rsidRDefault="005F4658" w:rsidP="005F465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3933825" cy="1543050"/>
            <wp:effectExtent l="19050" t="0" r="9525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58" w:rsidRPr="005F69EC" w:rsidRDefault="005F4658" w:rsidP="005F4658">
      <w:pPr>
        <w:spacing w:line="360" w:lineRule="auto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5F69EC">
        <w:rPr>
          <w:rFonts w:asciiTheme="minorEastAsia" w:eastAsiaTheme="minorEastAsia" w:hAnsiTheme="minorEastAsia" w:hint="eastAsia"/>
          <w:sz w:val="18"/>
          <w:szCs w:val="18"/>
        </w:rPr>
        <w:t>备注：上图表示GC001每周加权利率的变动情况</w:t>
      </w:r>
    </w:p>
    <w:p w:rsidR="005F4658" w:rsidRPr="005F69EC" w:rsidRDefault="005F4658" w:rsidP="005F4658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b/>
          <w:szCs w:val="21"/>
        </w:rPr>
        <w:t>同业存款：</w:t>
      </w:r>
      <w:r w:rsidRPr="005F69EC">
        <w:rPr>
          <w:rFonts w:asciiTheme="minorEastAsia" w:eastAsiaTheme="minorEastAsia" w:hAnsiTheme="minorEastAsia" w:hint="eastAsia"/>
          <w:szCs w:val="21"/>
        </w:rPr>
        <w:t>本周同业存单发行量回升，升至近4200亿元，发行主要集中在3个月品种，其中股份制银行 1个月存单价格仍维持在4.00,3个月存单价格上行至4.70,6个月存单价格上行至4.70。同业存款方面，1个月及3个月存款价格有所上行。</w:t>
      </w:r>
    </w:p>
    <w:p w:rsidR="005F4658" w:rsidRPr="005F69EC" w:rsidRDefault="005F4658" w:rsidP="005F465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>同业价格分布</w:t>
      </w:r>
    </w:p>
    <w:p w:rsidR="005F4658" w:rsidRPr="005F69EC" w:rsidRDefault="005F4658" w:rsidP="005F4658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848225" cy="1524000"/>
            <wp:effectExtent l="19050" t="0" r="952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ABC" w:rsidRPr="005F69EC" w:rsidRDefault="007D5ABC" w:rsidP="0076605A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1F509A" w:rsidRPr="005F69EC" w:rsidRDefault="005F69EC" w:rsidP="001F509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    </w:t>
      </w:r>
      <w:r w:rsidR="0061496E" w:rsidRPr="005F69EC">
        <w:rPr>
          <w:rFonts w:asciiTheme="minorEastAsia" w:eastAsiaTheme="minorEastAsia" w:hAnsiTheme="minorEastAsia" w:hint="eastAsia"/>
          <w:b/>
          <w:szCs w:val="21"/>
        </w:rPr>
        <w:t>三、</w:t>
      </w:r>
      <w:r w:rsidR="00A0594C" w:rsidRPr="005F69EC">
        <w:rPr>
          <w:rFonts w:asciiTheme="minorEastAsia" w:eastAsiaTheme="minorEastAsia" w:hAnsiTheme="minorEastAsia" w:hint="eastAsia"/>
          <w:b/>
          <w:szCs w:val="21"/>
        </w:rPr>
        <w:t>现券：</w:t>
      </w:r>
      <w:bookmarkEnd w:id="0"/>
      <w:bookmarkEnd w:id="1"/>
      <w:r w:rsidR="005F4658" w:rsidRPr="005F69EC">
        <w:rPr>
          <w:rFonts w:asciiTheme="minorEastAsia" w:eastAsiaTheme="minorEastAsia" w:hAnsiTheme="minorEastAsia" w:hint="eastAsia"/>
          <w:b/>
          <w:szCs w:val="21"/>
        </w:rPr>
        <w:t>本周周初虽延续上周下半周态势，利率有所下行，但终究难以持续，现券收益率随后便继续震荡下行，市场交投情绪依旧偏弱，担忧的关键节点仍未消除，本周公布的CPI及PPI数据并未对市场形成太大影响，短期内市场弱势或难改</w:t>
      </w:r>
      <w:r w:rsidR="001F509A" w:rsidRPr="005F69EC"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5F4658" w:rsidRPr="005F69EC" w:rsidRDefault="005F4658" w:rsidP="005F465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>现券一级市场发行情况统计</w:t>
      </w:r>
    </w:p>
    <w:p w:rsidR="005F4658" w:rsidRPr="005F69EC" w:rsidRDefault="005F4658" w:rsidP="005F4658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153025" cy="2247900"/>
            <wp:effectExtent l="19050" t="0" r="9525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EC" w:rsidRDefault="005F69EC" w:rsidP="005F4658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5F4658" w:rsidRPr="005F69EC" w:rsidRDefault="005F4658" w:rsidP="005F465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lastRenderedPageBreak/>
        <w:t>利率债一级市场发行情况</w:t>
      </w:r>
    </w:p>
    <w:p w:rsidR="005F4658" w:rsidRPr="005F69EC" w:rsidRDefault="005F4658" w:rsidP="005F4658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274310" cy="3175632"/>
            <wp:effectExtent l="19050" t="0" r="254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58" w:rsidRPr="005F69EC" w:rsidRDefault="005F4658" w:rsidP="005F4658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b/>
          <w:szCs w:val="21"/>
        </w:rPr>
        <w:t>利率债方面：</w:t>
      </w:r>
      <w:r w:rsidRPr="005F69EC">
        <w:rPr>
          <w:rFonts w:asciiTheme="minorEastAsia" w:eastAsiaTheme="minorEastAsia" w:hAnsiTheme="minorEastAsia" w:hint="eastAsia"/>
          <w:szCs w:val="21"/>
        </w:rPr>
        <w:t>一级市场方面，利率债招标结果偏弱，整体需求一般。二级市场方面，利率债收益率继续大幅上行。具体来看，10年期国债活跃品种收益率上行约5bp，10年期金债收益率上行约10bp。本周周初虽延续上周下半周态势，利率有所下行，但终究难以持续，现券收益率随后便继续震荡下行，市场交投情绪依旧偏弱，担忧的关键节点仍未消除，本周公布的CPI及PPI数据并未对市场形成太大影响，短期内市场弱势或难改。</w:t>
      </w:r>
    </w:p>
    <w:p w:rsidR="005F4658" w:rsidRPr="005F69EC" w:rsidRDefault="005F4658" w:rsidP="005F465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>利率债活跃品种收益率</w:t>
      </w:r>
    </w:p>
    <w:p w:rsidR="005F4658" w:rsidRPr="005F69EC" w:rsidRDefault="005F4658" w:rsidP="005F4658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286250" cy="2590800"/>
            <wp:effectExtent l="19050" t="0" r="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EC" w:rsidRDefault="005F69EC" w:rsidP="005F4658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5F4658" w:rsidRPr="005F69EC" w:rsidRDefault="005F4658" w:rsidP="005F465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>利率债关键期限收益率曲线</w:t>
      </w:r>
    </w:p>
    <w:p w:rsidR="005F4658" w:rsidRPr="005F69EC" w:rsidRDefault="005F4658" w:rsidP="005F4658">
      <w:pPr>
        <w:spacing w:line="360" w:lineRule="auto"/>
        <w:jc w:val="center"/>
        <w:rPr>
          <w:rFonts w:asciiTheme="minorEastAsia" w:eastAsiaTheme="minorEastAsia" w:hAnsiTheme="minorEastAsia"/>
          <w:szCs w:val="21"/>
          <w:highlight w:val="yellow"/>
        </w:rPr>
      </w:pPr>
      <w:r w:rsidRPr="005F69EC">
        <w:rPr>
          <w:rFonts w:asciiTheme="minorEastAsia" w:eastAsiaTheme="minorEastAsia" w:hAnsiTheme="minorEastAsia"/>
          <w:noProof/>
          <w:szCs w:val="21"/>
        </w:rPr>
        <w:lastRenderedPageBreak/>
        <w:drawing>
          <wp:inline distT="0" distB="0" distL="0" distR="0">
            <wp:extent cx="5086350" cy="1533525"/>
            <wp:effectExtent l="19050" t="0" r="0" b="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658" w:rsidRPr="005F69EC" w:rsidRDefault="005F4658" w:rsidP="005F4658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b/>
          <w:szCs w:val="21"/>
        </w:rPr>
        <w:t>信用债方面：</w:t>
      </w:r>
      <w:r w:rsidRPr="005F69EC">
        <w:rPr>
          <w:rFonts w:asciiTheme="minorEastAsia" w:eastAsiaTheme="minorEastAsia" w:hAnsiTheme="minorEastAsia" w:hint="eastAsia"/>
          <w:szCs w:val="21"/>
        </w:rPr>
        <w:t>二级市场方面，信用债收益率继续上行。具体来看，短融成交以1个月内AA+以上品种为主，中票成交以3年内AA+以上品种为主，企业债成交以5年内AA以上品种为主。短融方面，60天内品种受资金面收紧影响，收益率小幅上行，上行幅度在10bp以内，90天以上品种变动不大；中票、企业债方面，收益率继续小幅上行，上行幅度在5bp以内。</w:t>
      </w:r>
    </w:p>
    <w:p w:rsidR="005F69EC" w:rsidRDefault="005F69EC" w:rsidP="005F69EC">
      <w:pPr>
        <w:spacing w:line="360" w:lineRule="auto"/>
        <w:ind w:firstLineChars="200" w:firstLine="422"/>
        <w:rPr>
          <w:rFonts w:asciiTheme="minorEastAsia" w:eastAsiaTheme="minorEastAsia" w:hAnsiTheme="minorEastAsia" w:hint="eastAsia"/>
          <w:b/>
          <w:szCs w:val="21"/>
        </w:rPr>
      </w:pPr>
    </w:p>
    <w:p w:rsidR="00044DF9" w:rsidRPr="005F69EC" w:rsidRDefault="005F69EC" w:rsidP="005F69EC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</w:t>
      </w:r>
      <w:r w:rsidRPr="005F69EC">
        <w:rPr>
          <w:rFonts w:asciiTheme="minorEastAsia" w:eastAsiaTheme="minorEastAsia" w:hAnsiTheme="minorEastAsia" w:hint="eastAsia"/>
          <w:b/>
          <w:szCs w:val="21"/>
        </w:rPr>
        <w:t>、</w:t>
      </w:r>
      <w:r>
        <w:rPr>
          <w:rFonts w:asciiTheme="minorEastAsia" w:eastAsiaTheme="minorEastAsia" w:hAnsiTheme="minorEastAsia" w:hint="eastAsia"/>
          <w:b/>
          <w:szCs w:val="21"/>
        </w:rPr>
        <w:t>公司观点</w:t>
      </w:r>
    </w:p>
    <w:p w:rsidR="00846FC8" w:rsidRDefault="00846FC8" w:rsidP="00846FC8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>受金融去杠杆和</w:t>
      </w:r>
      <w:r w:rsidRPr="005F69EC">
        <w:rPr>
          <w:rFonts w:asciiTheme="minorEastAsia" w:eastAsiaTheme="minorEastAsia" w:hAnsiTheme="minorEastAsia"/>
          <w:szCs w:val="21"/>
        </w:rPr>
        <w:t>季节性因素</w:t>
      </w:r>
      <w:r w:rsidRPr="005F69EC">
        <w:rPr>
          <w:rFonts w:asciiTheme="minorEastAsia" w:eastAsiaTheme="minorEastAsia" w:hAnsiTheme="minorEastAsia" w:hint="eastAsia"/>
          <w:szCs w:val="21"/>
        </w:rPr>
        <w:t>影响，社融和信贷增长</w:t>
      </w:r>
      <w:r w:rsidRPr="005F69EC">
        <w:rPr>
          <w:rFonts w:asciiTheme="minorEastAsia" w:eastAsiaTheme="minorEastAsia" w:hAnsiTheme="minorEastAsia"/>
          <w:szCs w:val="21"/>
        </w:rPr>
        <w:t>不及预期和前值，</w:t>
      </w:r>
      <w:r w:rsidRPr="005F69EC">
        <w:rPr>
          <w:rFonts w:asciiTheme="minorEastAsia" w:eastAsiaTheme="minorEastAsia" w:hAnsiTheme="minorEastAsia" w:hint="eastAsia"/>
          <w:szCs w:val="21"/>
        </w:rPr>
        <w:t>市场对该信号几无反应，投资人信心不足的情况仍未有改变。近期建议，鉴于债市对监管政策和基本面的忧虑短期内未能消除，资金面波动压力较大，建议谨慎。</w:t>
      </w:r>
    </w:p>
    <w:p w:rsidR="005F69EC" w:rsidRDefault="005F69EC" w:rsidP="00846FC8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</w:p>
    <w:p w:rsidR="005F69EC" w:rsidRDefault="005F69EC" w:rsidP="005F69EC">
      <w:pPr>
        <w:widowControl/>
        <w:ind w:firstLine="482"/>
        <w:jc w:val="left"/>
      </w:pPr>
      <w:r w:rsidRPr="00073563">
        <w:rPr>
          <w:rFonts w:asciiTheme="minorEastAsia" w:hAnsiTheme="minorEastAsia" w:hint="eastAsia"/>
          <w:b/>
          <w:bCs/>
          <w:kern w:val="44"/>
          <w:sz w:val="24"/>
          <w:szCs w:val="44"/>
        </w:rPr>
        <w:t>声明：</w:t>
      </w:r>
      <w:r>
        <w:rPr>
          <w:rFonts w:hint="eastAsia"/>
        </w:rPr>
        <w:t xml:space="preserve"> </w:t>
      </w:r>
    </w:p>
    <w:p w:rsidR="005F69EC" w:rsidRDefault="005F69EC" w:rsidP="005F69EC">
      <w:pPr>
        <w:widowControl/>
        <w:ind w:firstLine="420"/>
        <w:jc w:val="left"/>
      </w:pPr>
    </w:p>
    <w:p w:rsidR="005F69EC" w:rsidRPr="005F69EC" w:rsidRDefault="005F69EC" w:rsidP="005F69EC">
      <w:pPr>
        <w:widowControl/>
        <w:ind w:firstLine="420"/>
        <w:jc w:val="left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5F69EC" w:rsidRPr="005F69EC" w:rsidRDefault="005F69EC" w:rsidP="005F69EC">
      <w:pPr>
        <w:widowControl/>
        <w:ind w:firstLine="420"/>
        <w:jc w:val="left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5F69EC" w:rsidRPr="005F69EC" w:rsidRDefault="005F69EC" w:rsidP="005F69EC">
      <w:pPr>
        <w:widowControl/>
        <w:ind w:firstLine="420"/>
        <w:jc w:val="left"/>
        <w:rPr>
          <w:rFonts w:asciiTheme="minorEastAsia" w:eastAsiaTheme="minorEastAsia" w:hAnsiTheme="minorEastAsia"/>
          <w:szCs w:val="21"/>
        </w:rPr>
      </w:pPr>
      <w:r w:rsidRPr="005F69EC">
        <w:rPr>
          <w:rFonts w:asciiTheme="minorEastAsia" w:eastAsia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5F69EC" w:rsidRPr="005F69EC" w:rsidRDefault="005F69EC" w:rsidP="00846FC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846FC8" w:rsidRDefault="00846FC8" w:rsidP="005F28B6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  <w:highlight w:val="yellow"/>
        </w:rPr>
      </w:pPr>
    </w:p>
    <w:p w:rsidR="005B0176" w:rsidRPr="00687C9B" w:rsidRDefault="005B0176" w:rsidP="001C7C23">
      <w:pPr>
        <w:autoSpaceDE w:val="0"/>
        <w:autoSpaceDN w:val="0"/>
        <w:adjustRightInd w:val="0"/>
        <w:spacing w:line="360" w:lineRule="auto"/>
        <w:ind w:firstLine="412"/>
        <w:rPr>
          <w:rFonts w:ascii="Arial" w:hAnsi="Arial" w:cs="Arial"/>
          <w:b/>
          <w:bCs/>
          <w:szCs w:val="21"/>
        </w:rPr>
      </w:pPr>
    </w:p>
    <w:sectPr w:rsidR="005B0176" w:rsidRPr="00687C9B" w:rsidSect="00F8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CE" w:rsidRDefault="003E6BCE" w:rsidP="00E558A4">
      <w:r>
        <w:separator/>
      </w:r>
    </w:p>
  </w:endnote>
  <w:endnote w:type="continuationSeparator" w:id="1">
    <w:p w:rsidR="003E6BCE" w:rsidRDefault="003E6BCE" w:rsidP="00E5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CE" w:rsidRDefault="003E6BCE" w:rsidP="00E558A4">
      <w:r>
        <w:separator/>
      </w:r>
    </w:p>
  </w:footnote>
  <w:footnote w:type="continuationSeparator" w:id="1">
    <w:p w:rsidR="003E6BCE" w:rsidRDefault="003E6BCE" w:rsidP="00E55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155D5"/>
    <w:multiLevelType w:val="hybridMultilevel"/>
    <w:tmpl w:val="AC085772"/>
    <w:lvl w:ilvl="0" w:tplc="4CE20F98">
      <w:start w:val="1"/>
      <w:numFmt w:val="japaneseCounting"/>
      <w:lvlText w:val="%1、"/>
      <w:lvlJc w:val="left"/>
      <w:pPr>
        <w:ind w:left="862" w:hanging="45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8A4"/>
    <w:rsid w:val="00004A6F"/>
    <w:rsid w:val="000174CF"/>
    <w:rsid w:val="00021A39"/>
    <w:rsid w:val="000359C9"/>
    <w:rsid w:val="00036979"/>
    <w:rsid w:val="00044DF9"/>
    <w:rsid w:val="00050FCB"/>
    <w:rsid w:val="0005544D"/>
    <w:rsid w:val="00062E5B"/>
    <w:rsid w:val="00065622"/>
    <w:rsid w:val="00076320"/>
    <w:rsid w:val="00085ADE"/>
    <w:rsid w:val="000A7CC3"/>
    <w:rsid w:val="000D061B"/>
    <w:rsid w:val="000D2739"/>
    <w:rsid w:val="000D637C"/>
    <w:rsid w:val="00115056"/>
    <w:rsid w:val="001347B0"/>
    <w:rsid w:val="001365A4"/>
    <w:rsid w:val="0014570B"/>
    <w:rsid w:val="00162589"/>
    <w:rsid w:val="00163435"/>
    <w:rsid w:val="00171D00"/>
    <w:rsid w:val="0017329A"/>
    <w:rsid w:val="001A3B3F"/>
    <w:rsid w:val="001A5A55"/>
    <w:rsid w:val="001B4648"/>
    <w:rsid w:val="001C4172"/>
    <w:rsid w:val="001C7C23"/>
    <w:rsid w:val="001D5050"/>
    <w:rsid w:val="001D7F5F"/>
    <w:rsid w:val="001E5AE1"/>
    <w:rsid w:val="001F509A"/>
    <w:rsid w:val="001F7F7D"/>
    <w:rsid w:val="002070BA"/>
    <w:rsid w:val="00207F5F"/>
    <w:rsid w:val="00241206"/>
    <w:rsid w:val="00244DF2"/>
    <w:rsid w:val="002623AD"/>
    <w:rsid w:val="0026259D"/>
    <w:rsid w:val="002810E1"/>
    <w:rsid w:val="002860FE"/>
    <w:rsid w:val="00287191"/>
    <w:rsid w:val="00290B34"/>
    <w:rsid w:val="002A7C99"/>
    <w:rsid w:val="002B6D69"/>
    <w:rsid w:val="002B70BC"/>
    <w:rsid w:val="002D1CDC"/>
    <w:rsid w:val="002E184F"/>
    <w:rsid w:val="002E665A"/>
    <w:rsid w:val="002F352A"/>
    <w:rsid w:val="0030055F"/>
    <w:rsid w:val="00303677"/>
    <w:rsid w:val="00325DC2"/>
    <w:rsid w:val="003269C3"/>
    <w:rsid w:val="003357CF"/>
    <w:rsid w:val="00370386"/>
    <w:rsid w:val="00383155"/>
    <w:rsid w:val="003928D6"/>
    <w:rsid w:val="003958BC"/>
    <w:rsid w:val="003A12DF"/>
    <w:rsid w:val="003A1B08"/>
    <w:rsid w:val="003B5810"/>
    <w:rsid w:val="003C1A9B"/>
    <w:rsid w:val="003D421D"/>
    <w:rsid w:val="003D5BBD"/>
    <w:rsid w:val="003E51C1"/>
    <w:rsid w:val="003E6BCE"/>
    <w:rsid w:val="003E74C4"/>
    <w:rsid w:val="00403CEE"/>
    <w:rsid w:val="00404A92"/>
    <w:rsid w:val="00404D53"/>
    <w:rsid w:val="00406ED6"/>
    <w:rsid w:val="00427AAB"/>
    <w:rsid w:val="00427C74"/>
    <w:rsid w:val="004310A6"/>
    <w:rsid w:val="004464DF"/>
    <w:rsid w:val="00472F98"/>
    <w:rsid w:val="00481853"/>
    <w:rsid w:val="00484899"/>
    <w:rsid w:val="004A329D"/>
    <w:rsid w:val="004B45C3"/>
    <w:rsid w:val="004C6671"/>
    <w:rsid w:val="004D589C"/>
    <w:rsid w:val="004D6DE0"/>
    <w:rsid w:val="004E12A6"/>
    <w:rsid w:val="004F41D6"/>
    <w:rsid w:val="004F4564"/>
    <w:rsid w:val="004F7AC8"/>
    <w:rsid w:val="00500A2A"/>
    <w:rsid w:val="00506A66"/>
    <w:rsid w:val="00512602"/>
    <w:rsid w:val="005311A5"/>
    <w:rsid w:val="00551102"/>
    <w:rsid w:val="00551618"/>
    <w:rsid w:val="00560D14"/>
    <w:rsid w:val="00574C83"/>
    <w:rsid w:val="00582754"/>
    <w:rsid w:val="0059030E"/>
    <w:rsid w:val="005B0176"/>
    <w:rsid w:val="005B11E9"/>
    <w:rsid w:val="005C4ED4"/>
    <w:rsid w:val="005D0651"/>
    <w:rsid w:val="005D083A"/>
    <w:rsid w:val="005D21FE"/>
    <w:rsid w:val="005E54A1"/>
    <w:rsid w:val="005E7257"/>
    <w:rsid w:val="005F28B6"/>
    <w:rsid w:val="005F4658"/>
    <w:rsid w:val="005F69EC"/>
    <w:rsid w:val="005F79B2"/>
    <w:rsid w:val="006020A4"/>
    <w:rsid w:val="0060589D"/>
    <w:rsid w:val="00606C5F"/>
    <w:rsid w:val="00613C09"/>
    <w:rsid w:val="0061496E"/>
    <w:rsid w:val="00617F70"/>
    <w:rsid w:val="00623451"/>
    <w:rsid w:val="00623863"/>
    <w:rsid w:val="006270F9"/>
    <w:rsid w:val="00631769"/>
    <w:rsid w:val="00643DD6"/>
    <w:rsid w:val="006551AC"/>
    <w:rsid w:val="0065624B"/>
    <w:rsid w:val="00657182"/>
    <w:rsid w:val="00686C49"/>
    <w:rsid w:val="00687C9B"/>
    <w:rsid w:val="00697109"/>
    <w:rsid w:val="006A71D0"/>
    <w:rsid w:val="006B33B1"/>
    <w:rsid w:val="006D3A50"/>
    <w:rsid w:val="007023F4"/>
    <w:rsid w:val="00704652"/>
    <w:rsid w:val="00704FCC"/>
    <w:rsid w:val="00710283"/>
    <w:rsid w:val="00710CCE"/>
    <w:rsid w:val="00725154"/>
    <w:rsid w:val="007276B2"/>
    <w:rsid w:val="007315EE"/>
    <w:rsid w:val="00737480"/>
    <w:rsid w:val="00754F6F"/>
    <w:rsid w:val="0075703C"/>
    <w:rsid w:val="0076605A"/>
    <w:rsid w:val="00774689"/>
    <w:rsid w:val="0079020B"/>
    <w:rsid w:val="0079383D"/>
    <w:rsid w:val="007B2042"/>
    <w:rsid w:val="007D2E59"/>
    <w:rsid w:val="007D45E0"/>
    <w:rsid w:val="007D5ABC"/>
    <w:rsid w:val="007E411F"/>
    <w:rsid w:val="007E7327"/>
    <w:rsid w:val="00801230"/>
    <w:rsid w:val="008014FB"/>
    <w:rsid w:val="00807D2A"/>
    <w:rsid w:val="00817FFC"/>
    <w:rsid w:val="008245CC"/>
    <w:rsid w:val="0084133E"/>
    <w:rsid w:val="00846FC8"/>
    <w:rsid w:val="008516F5"/>
    <w:rsid w:val="00875DF0"/>
    <w:rsid w:val="00876753"/>
    <w:rsid w:val="00886AEA"/>
    <w:rsid w:val="00890B39"/>
    <w:rsid w:val="00896A1B"/>
    <w:rsid w:val="008A6DC6"/>
    <w:rsid w:val="008B582B"/>
    <w:rsid w:val="008B7A59"/>
    <w:rsid w:val="008C1178"/>
    <w:rsid w:val="008D1C18"/>
    <w:rsid w:val="008D1D9E"/>
    <w:rsid w:val="008D4EDF"/>
    <w:rsid w:val="008E134C"/>
    <w:rsid w:val="008F6F79"/>
    <w:rsid w:val="0091363B"/>
    <w:rsid w:val="009266BF"/>
    <w:rsid w:val="00927AD4"/>
    <w:rsid w:val="009324F5"/>
    <w:rsid w:val="00937E2A"/>
    <w:rsid w:val="0094197A"/>
    <w:rsid w:val="00947422"/>
    <w:rsid w:val="00951D0A"/>
    <w:rsid w:val="00964B7D"/>
    <w:rsid w:val="00975D53"/>
    <w:rsid w:val="009907CE"/>
    <w:rsid w:val="00993DDF"/>
    <w:rsid w:val="009C0698"/>
    <w:rsid w:val="009C5475"/>
    <w:rsid w:val="009C6286"/>
    <w:rsid w:val="009D5D0C"/>
    <w:rsid w:val="009E6906"/>
    <w:rsid w:val="00A04A82"/>
    <w:rsid w:val="00A0594C"/>
    <w:rsid w:val="00A05FBC"/>
    <w:rsid w:val="00A13094"/>
    <w:rsid w:val="00A20849"/>
    <w:rsid w:val="00A230B1"/>
    <w:rsid w:val="00A24642"/>
    <w:rsid w:val="00A308D5"/>
    <w:rsid w:val="00A343E0"/>
    <w:rsid w:val="00A40447"/>
    <w:rsid w:val="00A66276"/>
    <w:rsid w:val="00A77AA7"/>
    <w:rsid w:val="00A8345F"/>
    <w:rsid w:val="00A84B74"/>
    <w:rsid w:val="00A85159"/>
    <w:rsid w:val="00A8593D"/>
    <w:rsid w:val="00AB007F"/>
    <w:rsid w:val="00AB6FAC"/>
    <w:rsid w:val="00AC0D75"/>
    <w:rsid w:val="00AD06A6"/>
    <w:rsid w:val="00AD4BA7"/>
    <w:rsid w:val="00AF4D6D"/>
    <w:rsid w:val="00AF7769"/>
    <w:rsid w:val="00B22704"/>
    <w:rsid w:val="00B74BAC"/>
    <w:rsid w:val="00B81ACE"/>
    <w:rsid w:val="00B84BA1"/>
    <w:rsid w:val="00B91905"/>
    <w:rsid w:val="00B92DF2"/>
    <w:rsid w:val="00B96816"/>
    <w:rsid w:val="00BA57DD"/>
    <w:rsid w:val="00BB3B34"/>
    <w:rsid w:val="00BD3078"/>
    <w:rsid w:val="00BF4F43"/>
    <w:rsid w:val="00C46DA2"/>
    <w:rsid w:val="00C633C9"/>
    <w:rsid w:val="00C67859"/>
    <w:rsid w:val="00C70AF8"/>
    <w:rsid w:val="00C73542"/>
    <w:rsid w:val="00C75506"/>
    <w:rsid w:val="00C90CEE"/>
    <w:rsid w:val="00C93AED"/>
    <w:rsid w:val="00CB0DCE"/>
    <w:rsid w:val="00CB6B88"/>
    <w:rsid w:val="00CD5522"/>
    <w:rsid w:val="00CE6F0D"/>
    <w:rsid w:val="00CF77A5"/>
    <w:rsid w:val="00D072E1"/>
    <w:rsid w:val="00D1070D"/>
    <w:rsid w:val="00D14A2F"/>
    <w:rsid w:val="00D22751"/>
    <w:rsid w:val="00D33907"/>
    <w:rsid w:val="00D4168E"/>
    <w:rsid w:val="00D70125"/>
    <w:rsid w:val="00D7385C"/>
    <w:rsid w:val="00D93740"/>
    <w:rsid w:val="00D93F0F"/>
    <w:rsid w:val="00DA21F4"/>
    <w:rsid w:val="00DA5CC8"/>
    <w:rsid w:val="00DB14BE"/>
    <w:rsid w:val="00DB2CCE"/>
    <w:rsid w:val="00DB3A3C"/>
    <w:rsid w:val="00DD3544"/>
    <w:rsid w:val="00DF4964"/>
    <w:rsid w:val="00E06009"/>
    <w:rsid w:val="00E0754C"/>
    <w:rsid w:val="00E152B3"/>
    <w:rsid w:val="00E17B9E"/>
    <w:rsid w:val="00E22B53"/>
    <w:rsid w:val="00E32921"/>
    <w:rsid w:val="00E40720"/>
    <w:rsid w:val="00E558A4"/>
    <w:rsid w:val="00E57474"/>
    <w:rsid w:val="00E76FB8"/>
    <w:rsid w:val="00E8494A"/>
    <w:rsid w:val="00EC3BA1"/>
    <w:rsid w:val="00EC3F2E"/>
    <w:rsid w:val="00EC7B76"/>
    <w:rsid w:val="00ED06F6"/>
    <w:rsid w:val="00ED46AE"/>
    <w:rsid w:val="00EE0CDB"/>
    <w:rsid w:val="00EF63E2"/>
    <w:rsid w:val="00F04069"/>
    <w:rsid w:val="00F1175B"/>
    <w:rsid w:val="00F171B3"/>
    <w:rsid w:val="00F17B80"/>
    <w:rsid w:val="00F52F44"/>
    <w:rsid w:val="00F67D7F"/>
    <w:rsid w:val="00F84E80"/>
    <w:rsid w:val="00F92287"/>
    <w:rsid w:val="00FD3B2D"/>
    <w:rsid w:val="00FE0FF8"/>
    <w:rsid w:val="00FE7A9A"/>
    <w:rsid w:val="00FF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A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8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7B7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7B76"/>
    <w:rPr>
      <w:rFonts w:ascii="Calibri" w:eastAsia="宋体" w:hAnsi="Calibri" w:cs="黑体"/>
      <w:sz w:val="18"/>
      <w:szCs w:val="18"/>
    </w:rPr>
  </w:style>
  <w:style w:type="paragraph" w:styleId="a6">
    <w:name w:val="Normal (Web)"/>
    <w:basedOn w:val="a"/>
    <w:uiPriority w:val="99"/>
    <w:unhideWhenUsed/>
    <w:rsid w:val="001D50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B84B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17F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3</cp:revision>
  <dcterms:created xsi:type="dcterms:W3CDTF">2017-11-17T08:43:00Z</dcterms:created>
  <dcterms:modified xsi:type="dcterms:W3CDTF">2017-12-06T02:13:00Z</dcterms:modified>
</cp:coreProperties>
</file>