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46" w:rsidRPr="001307BF" w:rsidRDefault="001307BF" w:rsidP="001307BF">
      <w:pPr>
        <w:pStyle w:val="3"/>
        <w:jc w:val="center"/>
        <w:rPr>
          <w:rFonts w:eastAsia="楷体_GB2312" w:hint="eastAsia"/>
          <w:sz w:val="32"/>
        </w:rPr>
      </w:pPr>
      <w:r w:rsidRPr="001307BF">
        <w:rPr>
          <w:rFonts w:eastAsia="楷体_GB2312" w:hint="eastAsia"/>
          <w:sz w:val="32"/>
        </w:rPr>
        <w:t>金融机构大额交易和可疑交易报告管理办法</w:t>
      </w:r>
    </w:p>
    <w:p w:rsidR="001307BF" w:rsidRPr="001307BF" w:rsidRDefault="001307BF" w:rsidP="001307BF">
      <w:pPr>
        <w:jc w:val="center"/>
        <w:rPr>
          <w:rFonts w:ascii="楷体_GB2312" w:eastAsia="楷体_GB2312" w:hAnsi="楷体" w:cs="Arial" w:hint="eastAsia"/>
          <w:b/>
          <w:color w:val="333333"/>
          <w:sz w:val="28"/>
          <w:szCs w:val="21"/>
          <w:shd w:val="clear" w:color="auto" w:fill="FFFFFF"/>
        </w:rPr>
      </w:pPr>
      <w:r w:rsidRPr="001307BF">
        <w:rPr>
          <w:rFonts w:ascii="楷体_GB2312" w:eastAsia="楷体_GB2312" w:hAnsi="楷体" w:cs="Arial" w:hint="eastAsia"/>
          <w:b/>
          <w:color w:val="333333"/>
          <w:sz w:val="28"/>
          <w:szCs w:val="21"/>
          <w:shd w:val="clear" w:color="auto" w:fill="FFFFFF"/>
        </w:rPr>
        <w:t>中国人民银行令〔2016〕第3</w:t>
      </w:r>
      <w:r>
        <w:rPr>
          <w:rFonts w:ascii="楷体_GB2312" w:eastAsia="楷体_GB2312" w:hAnsi="楷体" w:cs="Arial" w:hint="eastAsia"/>
          <w:b/>
          <w:color w:val="333333"/>
          <w:sz w:val="28"/>
          <w:szCs w:val="21"/>
          <w:shd w:val="clear" w:color="auto" w:fill="FFFFFF"/>
        </w:rPr>
        <w:t>号</w:t>
      </w:r>
    </w:p>
    <w:p w:rsidR="001307BF" w:rsidRPr="001307BF" w:rsidRDefault="001307BF" w:rsidP="001307BF">
      <w:pPr>
        <w:ind w:firstLineChars="200" w:firstLine="480"/>
        <w:rPr>
          <w:rFonts w:ascii="Times New Roman" w:eastAsia="楷体_GB2312" w:hAnsi="Times New Roman" w:cs="Times New Roman"/>
          <w:kern w:val="0"/>
          <w:sz w:val="24"/>
          <w:szCs w:val="24"/>
        </w:rPr>
      </w:pPr>
      <w:r w:rsidRPr="001307BF">
        <w:rPr>
          <w:rFonts w:ascii="Times New Roman" w:eastAsia="楷体_GB2312" w:hAnsi="Times New Roman" w:cs="Times New Roman"/>
          <w:kern w:val="0"/>
          <w:sz w:val="24"/>
          <w:szCs w:val="24"/>
        </w:rPr>
        <w:t>根据《中华人民共和国反洗钱法》、《中华人民共和国中国人民银行法》、《中华人民共和国反恐怖主义法》等法律规定，中国人民银行对《金融机构大额交易和可疑交易报告管理办法》（中国人民银行令〔</w:t>
      </w:r>
      <w:r w:rsidRPr="001307BF">
        <w:rPr>
          <w:rFonts w:ascii="Times New Roman" w:eastAsia="楷体_GB2312" w:hAnsi="Times New Roman" w:cs="Times New Roman"/>
          <w:kern w:val="0"/>
          <w:sz w:val="24"/>
          <w:szCs w:val="24"/>
        </w:rPr>
        <w:t>2006</w:t>
      </w:r>
      <w:r w:rsidRPr="001307BF">
        <w:rPr>
          <w:rFonts w:ascii="Times New Roman" w:eastAsia="楷体_GB2312" w:hAnsi="Times New Roman" w:cs="Times New Roman"/>
          <w:kern w:val="0"/>
          <w:sz w:val="24"/>
          <w:szCs w:val="24"/>
        </w:rPr>
        <w:t>〕第</w:t>
      </w:r>
      <w:r w:rsidRPr="001307BF">
        <w:rPr>
          <w:rFonts w:ascii="Times New Roman" w:eastAsia="楷体_GB2312" w:hAnsi="Times New Roman" w:cs="Times New Roman"/>
          <w:kern w:val="0"/>
          <w:sz w:val="24"/>
          <w:szCs w:val="24"/>
        </w:rPr>
        <w:t>2</w:t>
      </w:r>
      <w:r w:rsidRPr="001307BF">
        <w:rPr>
          <w:rFonts w:ascii="Times New Roman" w:eastAsia="楷体_GB2312" w:hAnsi="Times New Roman" w:cs="Times New Roman"/>
          <w:kern w:val="0"/>
          <w:sz w:val="24"/>
          <w:szCs w:val="24"/>
        </w:rPr>
        <w:t>号发布）进行了修订，经</w:t>
      </w:r>
      <w:r w:rsidRPr="001307BF">
        <w:rPr>
          <w:rFonts w:ascii="Times New Roman" w:eastAsia="楷体_GB2312" w:hAnsi="Times New Roman" w:cs="Times New Roman"/>
          <w:kern w:val="0"/>
          <w:sz w:val="24"/>
          <w:szCs w:val="24"/>
        </w:rPr>
        <w:t>2016</w:t>
      </w:r>
      <w:r w:rsidRPr="001307BF">
        <w:rPr>
          <w:rFonts w:ascii="Times New Roman" w:eastAsia="楷体_GB2312" w:hAnsi="Times New Roman" w:cs="Times New Roman"/>
          <w:kern w:val="0"/>
          <w:sz w:val="24"/>
          <w:szCs w:val="24"/>
        </w:rPr>
        <w:t>年</w:t>
      </w:r>
      <w:r w:rsidRPr="001307BF">
        <w:rPr>
          <w:rFonts w:ascii="Times New Roman" w:eastAsia="楷体_GB2312" w:hAnsi="Times New Roman" w:cs="Times New Roman"/>
          <w:kern w:val="0"/>
          <w:sz w:val="24"/>
          <w:szCs w:val="24"/>
        </w:rPr>
        <w:t>12</w:t>
      </w:r>
      <w:r w:rsidRPr="001307BF">
        <w:rPr>
          <w:rFonts w:ascii="Times New Roman" w:eastAsia="楷体_GB2312" w:hAnsi="Times New Roman" w:cs="Times New Roman"/>
          <w:kern w:val="0"/>
          <w:sz w:val="24"/>
          <w:szCs w:val="24"/>
        </w:rPr>
        <w:t>月</w:t>
      </w:r>
      <w:r w:rsidRPr="001307BF">
        <w:rPr>
          <w:rFonts w:ascii="Times New Roman" w:eastAsia="楷体_GB2312" w:hAnsi="Times New Roman" w:cs="Times New Roman"/>
          <w:kern w:val="0"/>
          <w:sz w:val="24"/>
          <w:szCs w:val="24"/>
        </w:rPr>
        <w:t>9</w:t>
      </w:r>
      <w:r w:rsidRPr="001307BF">
        <w:rPr>
          <w:rFonts w:ascii="Times New Roman" w:eastAsia="楷体_GB2312" w:hAnsi="Times New Roman" w:cs="Times New Roman"/>
          <w:kern w:val="0"/>
          <w:sz w:val="24"/>
          <w:szCs w:val="24"/>
        </w:rPr>
        <w:t>日第</w:t>
      </w:r>
      <w:r w:rsidRPr="001307BF">
        <w:rPr>
          <w:rFonts w:ascii="Times New Roman" w:eastAsia="楷体_GB2312" w:hAnsi="Times New Roman" w:cs="Times New Roman"/>
          <w:kern w:val="0"/>
          <w:sz w:val="24"/>
          <w:szCs w:val="24"/>
        </w:rPr>
        <w:t>9</w:t>
      </w:r>
      <w:r w:rsidRPr="001307BF">
        <w:rPr>
          <w:rFonts w:ascii="Times New Roman" w:eastAsia="楷体_GB2312" w:hAnsi="Times New Roman" w:cs="Times New Roman"/>
          <w:kern w:val="0"/>
          <w:sz w:val="24"/>
          <w:szCs w:val="24"/>
        </w:rPr>
        <w:t>次行长办公会议通过，现予发布，自</w:t>
      </w:r>
      <w:r w:rsidRPr="001307BF">
        <w:rPr>
          <w:rFonts w:ascii="Times New Roman" w:eastAsia="楷体_GB2312" w:hAnsi="Times New Roman" w:cs="Times New Roman"/>
          <w:kern w:val="0"/>
          <w:sz w:val="24"/>
          <w:szCs w:val="24"/>
        </w:rPr>
        <w:t>2017</w:t>
      </w:r>
      <w:r w:rsidRPr="001307BF">
        <w:rPr>
          <w:rFonts w:ascii="Times New Roman" w:eastAsia="楷体_GB2312" w:hAnsi="Times New Roman" w:cs="Times New Roman"/>
          <w:kern w:val="0"/>
          <w:sz w:val="24"/>
          <w:szCs w:val="24"/>
        </w:rPr>
        <w:t>年</w:t>
      </w:r>
      <w:r w:rsidRPr="001307BF">
        <w:rPr>
          <w:rFonts w:ascii="Times New Roman" w:eastAsia="楷体_GB2312" w:hAnsi="Times New Roman" w:cs="Times New Roman"/>
          <w:kern w:val="0"/>
          <w:sz w:val="24"/>
          <w:szCs w:val="24"/>
        </w:rPr>
        <w:t>7</w:t>
      </w:r>
      <w:r w:rsidRPr="001307BF">
        <w:rPr>
          <w:rFonts w:ascii="Times New Roman" w:eastAsia="楷体_GB2312" w:hAnsi="Times New Roman" w:cs="Times New Roman"/>
          <w:kern w:val="0"/>
          <w:sz w:val="24"/>
          <w:szCs w:val="24"/>
        </w:rPr>
        <w:t>月</w:t>
      </w:r>
      <w:r w:rsidRPr="001307BF">
        <w:rPr>
          <w:rFonts w:ascii="Times New Roman" w:eastAsia="楷体_GB2312" w:hAnsi="Times New Roman" w:cs="Times New Roman"/>
          <w:kern w:val="0"/>
          <w:sz w:val="24"/>
          <w:szCs w:val="24"/>
        </w:rPr>
        <w:t>1</w:t>
      </w:r>
      <w:r w:rsidRPr="001307BF">
        <w:rPr>
          <w:rFonts w:ascii="Times New Roman" w:eastAsia="楷体_GB2312" w:hAnsi="Times New Roman" w:cs="Times New Roman"/>
          <w:kern w:val="0"/>
          <w:sz w:val="24"/>
          <w:szCs w:val="24"/>
        </w:rPr>
        <w:t>日起施行。</w:t>
      </w:r>
    </w:p>
    <w:p w:rsidR="001307BF" w:rsidRDefault="001307BF" w:rsidP="001307BF">
      <w:pPr>
        <w:widowControl/>
        <w:shd w:val="clear" w:color="auto" w:fill="FFFFFF"/>
        <w:spacing w:line="360" w:lineRule="atLeast"/>
        <w:ind w:firstLine="480"/>
        <w:jc w:val="left"/>
        <w:rPr>
          <w:rFonts w:ascii="Arial" w:eastAsia="宋体" w:hAnsi="Arial" w:cs="Arial" w:hint="eastAsia"/>
          <w:color w:val="333333"/>
          <w:kern w:val="0"/>
          <w:szCs w:val="21"/>
        </w:rPr>
      </w:pPr>
      <w:r w:rsidRPr="00A725A3">
        <w:rPr>
          <w:rFonts w:eastAsia="楷体_GB2312"/>
          <w:kern w:val="0"/>
          <w:sz w:val="24"/>
        </w:rPr>
        <w:t>二</w:t>
      </w:r>
      <w:r w:rsidRPr="00A725A3">
        <w:rPr>
          <w:kern w:val="0"/>
          <w:sz w:val="24"/>
        </w:rPr>
        <w:t>〇</w:t>
      </w:r>
      <w:r>
        <w:rPr>
          <w:rFonts w:hint="eastAsia"/>
          <w:kern w:val="0"/>
          <w:sz w:val="24"/>
        </w:rPr>
        <w:t>一</w:t>
      </w:r>
      <w:r w:rsidRPr="00A725A3">
        <w:rPr>
          <w:rFonts w:eastAsia="楷体_GB2312"/>
          <w:kern w:val="0"/>
          <w:sz w:val="24"/>
        </w:rPr>
        <w:t>六年十</w:t>
      </w:r>
      <w:r>
        <w:rPr>
          <w:rFonts w:eastAsia="楷体_GB2312" w:hint="eastAsia"/>
          <w:kern w:val="0"/>
          <w:sz w:val="24"/>
        </w:rPr>
        <w:t>二</w:t>
      </w:r>
      <w:r w:rsidRPr="00A725A3">
        <w:rPr>
          <w:rFonts w:eastAsia="楷体_GB2312"/>
          <w:kern w:val="0"/>
          <w:sz w:val="24"/>
        </w:rPr>
        <w:t>月</w:t>
      </w:r>
      <w:r>
        <w:rPr>
          <w:rFonts w:eastAsia="楷体_GB2312" w:hint="eastAsia"/>
          <w:kern w:val="0"/>
          <w:sz w:val="24"/>
        </w:rPr>
        <w:t>二十八</w:t>
      </w:r>
      <w:r w:rsidRPr="00A725A3">
        <w:rPr>
          <w:rFonts w:eastAsia="楷体_GB2312"/>
          <w:kern w:val="0"/>
          <w:sz w:val="24"/>
        </w:rPr>
        <w:t>日</w:t>
      </w:r>
    </w:p>
    <w:p w:rsidR="001307BF" w:rsidRDefault="001307BF" w:rsidP="001307BF">
      <w:pPr>
        <w:widowControl/>
        <w:shd w:val="clear" w:color="auto" w:fill="FFFFFF"/>
        <w:spacing w:line="360" w:lineRule="atLeast"/>
        <w:ind w:firstLine="480"/>
        <w:jc w:val="left"/>
        <w:rPr>
          <w:rFonts w:ascii="Arial" w:eastAsia="宋体" w:hAnsi="Arial" w:cs="Arial" w:hint="eastAsia"/>
          <w:b/>
          <w:bCs/>
          <w:color w:val="333333"/>
          <w:kern w:val="0"/>
          <w:szCs w:val="21"/>
        </w:rPr>
      </w:pP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b/>
          <w:bCs/>
          <w:kern w:val="0"/>
          <w:szCs w:val="21"/>
        </w:rPr>
        <w:t>第一章总则</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第一条为了规范金融机构大额交易和可疑交易报告行为，根据《</w:t>
      </w:r>
      <w:hyperlink r:id="rId4" w:tgtFrame="_blank" w:history="1">
        <w:r w:rsidRPr="001307BF">
          <w:rPr>
            <w:rFonts w:asciiTheme="minorEastAsia" w:hAnsiTheme="minorEastAsia" w:cs="Arial"/>
            <w:kern w:val="0"/>
          </w:rPr>
          <w:t>中华人民共和国反洗钱法</w:t>
        </w:r>
      </w:hyperlink>
      <w:r w:rsidRPr="001307BF">
        <w:rPr>
          <w:rFonts w:asciiTheme="minorEastAsia" w:hAnsiTheme="minorEastAsia" w:cs="Arial"/>
          <w:kern w:val="0"/>
          <w:szCs w:val="21"/>
        </w:rPr>
        <w:t>》、《</w:t>
      </w:r>
      <w:hyperlink r:id="rId5" w:tgtFrame="_blank" w:history="1">
        <w:r w:rsidRPr="001307BF">
          <w:rPr>
            <w:rFonts w:asciiTheme="minorEastAsia" w:hAnsiTheme="minorEastAsia" w:cs="Arial"/>
            <w:kern w:val="0"/>
          </w:rPr>
          <w:t>中华人民共和国中国人民银行法</w:t>
        </w:r>
      </w:hyperlink>
      <w:r w:rsidRPr="001307BF">
        <w:rPr>
          <w:rFonts w:asciiTheme="minorEastAsia" w:hAnsiTheme="minorEastAsia" w:cs="Arial"/>
          <w:kern w:val="0"/>
          <w:szCs w:val="21"/>
        </w:rPr>
        <w:t>》、《</w:t>
      </w:r>
      <w:hyperlink r:id="rId6" w:tgtFrame="_blank" w:history="1">
        <w:r w:rsidRPr="001307BF">
          <w:rPr>
            <w:rFonts w:asciiTheme="minorEastAsia" w:hAnsiTheme="minorEastAsia" w:cs="Arial"/>
            <w:kern w:val="0"/>
          </w:rPr>
          <w:t>中华人民共和国反恐怖主义法</w:t>
        </w:r>
      </w:hyperlink>
      <w:r w:rsidRPr="001307BF">
        <w:rPr>
          <w:rFonts w:asciiTheme="minorEastAsia" w:hAnsiTheme="minorEastAsia" w:cs="Arial"/>
          <w:kern w:val="0"/>
          <w:szCs w:val="21"/>
        </w:rPr>
        <w:t>》等有关法律法规，制定本办法。</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第二条本办法适用于在</w:t>
      </w:r>
      <w:hyperlink r:id="rId7" w:tgtFrame="_blank" w:history="1">
        <w:r w:rsidRPr="001307BF">
          <w:rPr>
            <w:rFonts w:asciiTheme="minorEastAsia" w:hAnsiTheme="minorEastAsia" w:cs="Arial"/>
            <w:kern w:val="0"/>
          </w:rPr>
          <w:t>中华人民共和国</w:t>
        </w:r>
      </w:hyperlink>
      <w:r w:rsidRPr="001307BF">
        <w:rPr>
          <w:rFonts w:asciiTheme="minorEastAsia" w:hAnsiTheme="minorEastAsia" w:cs="Arial"/>
          <w:kern w:val="0"/>
          <w:szCs w:val="21"/>
        </w:rPr>
        <w:t>境内依法设立的下列金融机构：</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（一）政策性银行、商业银行、农村合作银行、农村信用社、村镇银行。</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（二）证券公司、期货公司、基金管理公司。</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（三）保险公司、保险资产管理公司、保险专业代理公司、保险经纪公司。</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（四）信托公司、金融资产管理公司、企业集团财务公司、金融租赁公司、汽车金融公司、消费金融公司、货币经纪公司、贷款公司。</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（五）中国人民银行确定并公布的应当履行反洗</w:t>
      </w:r>
      <w:proofErr w:type="gramStart"/>
      <w:r w:rsidRPr="001307BF">
        <w:rPr>
          <w:rFonts w:asciiTheme="minorEastAsia" w:hAnsiTheme="minorEastAsia" w:cs="Arial"/>
          <w:kern w:val="0"/>
          <w:szCs w:val="21"/>
        </w:rPr>
        <w:t>钱义务</w:t>
      </w:r>
      <w:proofErr w:type="gramEnd"/>
      <w:r w:rsidRPr="001307BF">
        <w:rPr>
          <w:rFonts w:asciiTheme="minorEastAsia" w:hAnsiTheme="minorEastAsia" w:cs="Arial"/>
          <w:kern w:val="0"/>
          <w:szCs w:val="21"/>
        </w:rPr>
        <w:t>的从事金融业务的其他机构。</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第三条金融机构应当履行大额交易和可疑交易报告义务，向中国反洗钱监测分析中心报送大额交易和可疑交易报告，接受中国人民银行及其分支机构的监督、检查。</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第四条金融机构应当通过其总部或者总部指定的一个机构，按本办法规定的路径和方式提交大额交易和可疑交易报告。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b/>
          <w:bCs/>
          <w:kern w:val="0"/>
          <w:szCs w:val="21"/>
        </w:rPr>
        <w:t>第二章大额交易报告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第五条金融机构应当报告下列大额交易：</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（一）当日单笔或者累计交易人民币5万元以上（含5万元）、外币等值1万美元以上（含1万美元）的现金缴存、现金支取、现金结售汇、现钞兑换、现金汇款、现金票据解付及其他形式的现金收支。</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（二）非自然人客户银行账户与其他的银行账户发生当日单笔或者累计交易人民币200万元以上（含200万元）、外币等值20万美元以上（含20万美元）的款项划转。</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lastRenderedPageBreak/>
        <w:t>（三）自然人客户银行账户与其他的银行账户发生当日单笔或者累计交易人民币50万元以上（含50万元）、外币等值10万美元以上（含10万美元）的境内款项划转。</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（四）自然人客户银行账户与其他的银行账户发生当日单笔或者累计交易人民币20万元以上（含20万元）、外币等值1万美元以上（含1万美元）的跨境款项划转。</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累计交易金额以客户为单位，按资金收入或者支出单边累计计算并报告。中国人民银行另有规定的除外。</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中国人民银行根据需要可以调整本条第一款规定的大额交易报告标准。</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第六条对同时符合两项以上大额交易标准的交易，金融机构应当分别提交大额交易报告。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第七条对符合下列条件之一的大额交易，如未发现交易或行为可疑的，金融机构可以不报告：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（一）定期存款到期后，不直接提取或者划转，而是本金或者本金加全部或者部分利息续存入在同一金融机构开立的同一户名下的另一账户。</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活期存款的本金或者本金加全部或者部分利息转为在同一金融机构开立的同一户名下的另一账户内的定期存款。</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定期存款的本金或者本金加全部或者部分利息转为在同一金融机构开立的同一户名下的另一账户内的活期存款。</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（二）自然人实盘外汇买卖交易过程中不同外币币种间的转换。</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（三）交易一方为各级党的机关、国家权力机关、行政机关、司法机关、军事机关、人民政协机关和人民解放军、武警部队，但不包含其下属的各类企事业单位。</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（四）金融机构同业拆借、在银行间债券市场进行的债券交易。</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（五）金融机构在黄金交易所进行的黄金交易。</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（六）金融机构内部调拨资金。</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（七）国际金融组织和外国政府贷款转贷业务项下的交易。</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（八）国际金融组织和外国政府贷款项下的债务掉期交易。</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（九）政策性银行、商业银行、农村合作银行、农村信用社、村镇银行办理的税收、</w:t>
      </w:r>
      <w:proofErr w:type="gramStart"/>
      <w:r w:rsidRPr="001307BF">
        <w:rPr>
          <w:rFonts w:asciiTheme="minorEastAsia" w:hAnsiTheme="minorEastAsia" w:cs="Arial"/>
          <w:kern w:val="0"/>
          <w:szCs w:val="21"/>
        </w:rPr>
        <w:t>错账冲正</w:t>
      </w:r>
      <w:proofErr w:type="gramEnd"/>
      <w:r w:rsidRPr="001307BF">
        <w:rPr>
          <w:rFonts w:asciiTheme="minorEastAsia" w:hAnsiTheme="minorEastAsia" w:cs="Arial"/>
          <w:kern w:val="0"/>
          <w:szCs w:val="21"/>
        </w:rPr>
        <w:t>、利息支付。</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（十）中国人民银行确定的其他情形。</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第八条金融机构应当在大额交易发生之日起5个工作日内以电子方式提交大额交易报告。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第九条下列金融机构与客户进行金融交易并通过银行账户划转款项的，由银行机构按照本办法规定提交大额交易报告：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（一）证券公司、期货公司、基金管理公司。</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（二）保险公司、保险资产管理公司、保险专业代理公司、保险经纪公司。</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（三）信托公司、金融资产管理公司、企业集团财务公司、金融租赁公司、汽车金融公司、消费金融公司、货币经纪公司、贷款公司。</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lastRenderedPageBreak/>
        <w:t>第十条客户通过在境内金融机构开立的账户或者境内银行卡所发生的大额交易，由开立账户的金融机构或者发卡银行报告；客户通过境外银行卡所发生的大额交易，由收单机构报告；客户不通过账户或者银行卡发生的大额交易，由办理业务的金融机构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b/>
          <w:bCs/>
          <w:kern w:val="0"/>
          <w:szCs w:val="21"/>
        </w:rPr>
        <w:t>第三章可疑交易报告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第十一条金融机构发现或者有合理理由怀疑客户、客户的资金或者其他资产、客户的交易或者试图进行的交易与洗钱、恐怖融资等犯罪活动相关的，不论所涉资金金额或者资产价值大小，应当提交可疑交易报告。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第十二条金融机构应当制定本机构的交易监测标准，并对其有效性负责。交易监测标准包括并不限于客户的身份、行为，交易的资金来源、金额、频率、流向、性质等存在异常的情形，并应当参考以下因素：</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（一）中国人民银行及其分支机构发布的反洗钱、反恐怖融资规定及指引、风险提示、洗钱类型分析报告和风险评估报告。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（二）公安机关、司法机关发布的犯罪形势分析、风险提示、犯罪类型报告和工作报告。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（三）本机构的资产规模、地域分布、业务特点、客户群体、交易特征，洗钱和恐怖融资风险评估结论。</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（四）中国人民银行及其分支机构出具的反洗钱监管意见。</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（五）中国人民银行要求关注的其他因素。</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第十三条金融机构应当定期对交易监测标准进行评估，并根据评估结果完善交易监测标准。如发生突发情况或者应当关注的情况的，金融机构应当及时评估和完善交易监测标准。</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四条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第十五条金融机构应当在按本机构可疑交易报告内部操作规程确认为可疑交易后，及时以电子方式提交可疑交易报告，最迟不超过5个工作日。</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第十六条既属于大额交易又属于可疑交易的交易，金融机构应当分别提交大额交易报告和可疑交易报告。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第十七条可疑交易符合下列情形之一的，金融机构应当在向中国反洗钱监测分析中心提交可疑交易报告的同时，以电子形式或书面形式向所在地中国人民银行或者其分支机构报告，并配合反洗钱调查：</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（一）明显涉嫌洗钱、恐怖融资等犯罪活动的。</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（二）严重危害国家安全或者影响社会稳定的。</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（三）其他情节严重或者情况紧急的情形。</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八条金融机构应当对下列恐怖活动组织及恐怖活动人员名单开展实时监测，有合理理由怀疑客户或者其交易对手、资金或者其他资产与名单相关的，应当在立即向中国反洗钱监测分析中心提交可疑交易报告的同时，以电子形式或书面形式向所在地中国人民银行或者其分支机构报告，并按照相关主管部门的要求依法采取措施。</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（一）中国政府发布的或者要求执行的恐怖活动组织及恐怖活动人员名单。</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lastRenderedPageBreak/>
        <w:t>（二）联合国安理会决议中所列的恐怖活动组织及恐怖活动人员名单。</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（三）中国人民银行要求关注的其他涉嫌恐怖活动的组织及人员名单。</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恐怖活动组织及恐怖活动人员名单调整的，金融机构应当立即开展回溯性调查，并按前款规定提交可疑交易报告。</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法律、行政法规、规章对上述名单的监控另有规定的，从其规定。</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b/>
          <w:bCs/>
          <w:kern w:val="0"/>
          <w:szCs w:val="21"/>
        </w:rPr>
        <w:t>第四章内部管理措施</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十九条金融机构应当根据本办法制定大额交易和可疑交易报告内部管理制度和操作规程，对本机构的大额交易和可疑交易报告工作做出统一要求，并对分支机构、附属机构大额交易和可疑交易报告制度的执行情况进行监督管理。</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金融机构应当将大额交易和可疑交易报告制度向中国人民银行或其总部所在地的中国人民银行分支机构报备。</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第二十条金融机构应当设立专职的反洗钱岗位，配备专职人员负责大额交易和可疑交易报告工作，并提供必要的资源保障和信息支持。</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一条金融机构应当建立健全大额交易和可疑交易监测系统，以客户为基本单位开展资金交易的监测分析，全面、完整、准确地采集各业务系统的客户身份信息和交易信息，保障大额交易和可疑交易监测分析的数据需求。</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第二十二条金融机构应当按照完整准确、安全保密的原则，将大额交易和可疑交易报告、反映交易分析和内部处理情况的工作记录等资料自生成之日起至少保存5年。</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保存的信息资料涉及正在被反洗</w:t>
      </w:r>
      <w:proofErr w:type="gramStart"/>
      <w:r w:rsidRPr="001307BF">
        <w:rPr>
          <w:rFonts w:asciiTheme="minorEastAsia" w:hAnsiTheme="minorEastAsia" w:cs="Arial"/>
          <w:kern w:val="0"/>
          <w:szCs w:val="21"/>
        </w:rPr>
        <w:t>钱调查</w:t>
      </w:r>
      <w:proofErr w:type="gramEnd"/>
      <w:r w:rsidRPr="001307BF">
        <w:rPr>
          <w:rFonts w:asciiTheme="minorEastAsia" w:hAnsiTheme="minorEastAsia" w:cs="Arial"/>
          <w:kern w:val="0"/>
          <w:szCs w:val="21"/>
        </w:rPr>
        <w:t>的可疑交易活动，且反洗</w:t>
      </w:r>
      <w:proofErr w:type="gramStart"/>
      <w:r w:rsidRPr="001307BF">
        <w:rPr>
          <w:rFonts w:asciiTheme="minorEastAsia" w:hAnsiTheme="minorEastAsia" w:cs="Arial"/>
          <w:kern w:val="0"/>
          <w:szCs w:val="21"/>
        </w:rPr>
        <w:t>钱调查</w:t>
      </w:r>
      <w:proofErr w:type="gramEnd"/>
      <w:r w:rsidRPr="001307BF">
        <w:rPr>
          <w:rFonts w:asciiTheme="minorEastAsia" w:hAnsiTheme="minorEastAsia" w:cs="Arial"/>
          <w:kern w:val="0"/>
          <w:szCs w:val="21"/>
        </w:rPr>
        <w:t>工作在前款规定的最低保存期届满时仍未结束的，金融机构应将其保存至反洗</w:t>
      </w:r>
      <w:proofErr w:type="gramStart"/>
      <w:r w:rsidRPr="001307BF">
        <w:rPr>
          <w:rFonts w:asciiTheme="minorEastAsia" w:hAnsiTheme="minorEastAsia" w:cs="Arial"/>
          <w:kern w:val="0"/>
          <w:szCs w:val="21"/>
        </w:rPr>
        <w:t>钱调查</w:t>
      </w:r>
      <w:proofErr w:type="gramEnd"/>
      <w:r w:rsidRPr="001307BF">
        <w:rPr>
          <w:rFonts w:asciiTheme="minorEastAsia" w:hAnsiTheme="minorEastAsia" w:cs="Arial"/>
          <w:kern w:val="0"/>
          <w:szCs w:val="21"/>
        </w:rPr>
        <w:t>工作结束。</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第二十三条金融机构及其工作人员应当对依法履行大额交易和可疑交易报告义务获得的客户身份资料和交易信息，对依法监测、分析、报告可疑交易的有关情况予以保密，不得违反规定向任何单位和个人提供。</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b/>
          <w:bCs/>
          <w:kern w:val="0"/>
          <w:szCs w:val="21"/>
        </w:rPr>
        <w:t>第五章法律责任</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第二十四条金融机构违反本办法的，由中国人民银行或者其地市中心支行以上分支机构按照《中华人民共和国反洗钱法》第三十一条、第三十二条的规定予以处罚。</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b/>
          <w:bCs/>
          <w:kern w:val="0"/>
          <w:szCs w:val="21"/>
        </w:rPr>
        <w:t>第六章附则</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五条非银行支付机构、从事汇兑业务和基金销售业务的机构报告大额交易和可疑交易适用本办法。银行卡清算机构、资金清算中心等从事清算业务的机构应当按照中国人民银行有关规定开展交易监测分析、报告工作。</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本办法所称非银行支付机构，是指根据《</w:t>
      </w:r>
      <w:hyperlink r:id="rId8" w:tgtFrame="_blank" w:history="1">
        <w:r w:rsidRPr="001307BF">
          <w:rPr>
            <w:rFonts w:asciiTheme="minorEastAsia" w:hAnsiTheme="minorEastAsia" w:cs="Arial"/>
            <w:kern w:val="0"/>
          </w:rPr>
          <w:t>非金融机构支付服务管理办法</w:t>
        </w:r>
      </w:hyperlink>
      <w:r w:rsidRPr="001307BF">
        <w:rPr>
          <w:rFonts w:asciiTheme="minorEastAsia" w:hAnsiTheme="minorEastAsia" w:cs="Arial"/>
          <w:kern w:val="0"/>
          <w:szCs w:val="21"/>
        </w:rPr>
        <w:t>》（中国人民银行令〔2010〕第2号发布）规定取得《支付业务许可证》的支付机构。</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本办法所称资金清算中心，包括城市商业银行资金清算中心、农信银资金清算中心有限责任公司及中国人民银行确定的其他资金清算中心。</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第二十六条 本办法所称非自然人，包括法人、其他组织和个体工商户。</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第二十七条金融机构应当按照本办法所附的大额交易和可疑交易报告要素要求（要素内容见附件），制作大额交易报告和可疑交易报告的电子文件。具体的报告格式和填报要求由中国人民银行另行规定。</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lastRenderedPageBreak/>
        <w:t>第二十八条中国反洗钱监测分析中心发现金融机构报送的大额交易报告或者可疑交易报告内容要素不全或者存在错误的，可以向提交报告的金融机构发出补正通知，金融机构应当在接到补正通知之日起5个工作日内补正。</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kern w:val="0"/>
          <w:szCs w:val="21"/>
        </w:rPr>
        <w:t>第二十九条本办法由中国人民银行负责解释。</w:t>
      </w:r>
    </w:p>
    <w:p w:rsidR="001307BF" w:rsidRPr="001307BF" w:rsidRDefault="001307BF" w:rsidP="001307BF">
      <w:pPr>
        <w:widowControl/>
        <w:shd w:val="clear" w:color="auto" w:fill="FFFFFF"/>
        <w:spacing w:line="360" w:lineRule="atLeast"/>
        <w:ind w:firstLine="480"/>
        <w:rPr>
          <w:rFonts w:asciiTheme="minorEastAsia" w:hAnsiTheme="minorEastAsia" w:cs="Arial" w:hint="eastAsia"/>
          <w:kern w:val="0"/>
          <w:szCs w:val="21"/>
        </w:rPr>
      </w:pPr>
      <w:r w:rsidRPr="001307BF">
        <w:rPr>
          <w:rFonts w:asciiTheme="minorEastAsia" w:hAnsiTheme="minorEastAsia" w:cs="Arial"/>
          <w:kern w:val="0"/>
          <w:szCs w:val="21"/>
        </w:rPr>
        <w:t>第三十条本办法自2017年7月1日起施行。中国人民银行2006年11月14日发布的《金融机构大额交易和可疑交易报告管理办法》（中国人民银行令〔2006〕第2号）和2007年6月11日发布的《金融机构报告涉嫌恐怖融资的可疑交易管理办法》（中国人民银行令〔2007〕第1号）同时废止。中国人民银行此前发布的大额交易和可疑交易报告的其他规定，与本办法不一致的，以本办法为准。</w:t>
      </w:r>
    </w:p>
    <w:p w:rsidR="001307BF" w:rsidRPr="001307BF" w:rsidRDefault="001307BF" w:rsidP="001307BF">
      <w:pPr>
        <w:widowControl/>
        <w:shd w:val="clear" w:color="auto" w:fill="FFFFFF"/>
        <w:spacing w:line="360" w:lineRule="atLeast"/>
        <w:ind w:firstLine="480"/>
        <w:rPr>
          <w:rFonts w:asciiTheme="minorEastAsia" w:hAnsiTheme="minorEastAsia" w:cs="Arial"/>
          <w:kern w:val="0"/>
          <w:szCs w:val="21"/>
        </w:rPr>
      </w:pPr>
      <w:r w:rsidRPr="001307BF">
        <w:rPr>
          <w:rFonts w:asciiTheme="minorEastAsia" w:hAnsiTheme="minorEastAsia" w:cs="Arial"/>
          <w:szCs w:val="21"/>
          <w:shd w:val="clear" w:color="auto" w:fill="FFFFFF"/>
        </w:rPr>
        <w:t>附：金融机构大额交易和可疑交易报告</w:t>
      </w:r>
      <w:r w:rsidRPr="001307BF">
        <w:rPr>
          <w:rFonts w:asciiTheme="minorEastAsia" w:hAnsiTheme="minorEastAsia" w:cs="Arial" w:hint="eastAsia"/>
          <w:szCs w:val="21"/>
          <w:shd w:val="clear" w:color="auto" w:fill="FFFFFF"/>
        </w:rPr>
        <w:t>主</w:t>
      </w:r>
      <w:r w:rsidRPr="001307BF">
        <w:rPr>
          <w:rFonts w:asciiTheme="minorEastAsia" w:hAnsiTheme="minorEastAsia" w:cs="Arial"/>
          <w:szCs w:val="21"/>
          <w:shd w:val="clear" w:color="auto" w:fill="FFFFFF"/>
        </w:rPr>
        <w:t>要内容（略）</w:t>
      </w:r>
    </w:p>
    <w:sectPr w:rsidR="001307BF" w:rsidRPr="001307BF" w:rsidSect="00845C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7BF"/>
    <w:rsid w:val="001307BF"/>
    <w:rsid w:val="00845CBA"/>
    <w:rsid w:val="00DA5CB0"/>
    <w:rsid w:val="00E97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CBA"/>
    <w:pPr>
      <w:widowControl w:val="0"/>
      <w:jc w:val="both"/>
    </w:pPr>
  </w:style>
  <w:style w:type="paragraph" w:styleId="3">
    <w:name w:val="heading 3"/>
    <w:basedOn w:val="a"/>
    <w:next w:val="a"/>
    <w:link w:val="3Char"/>
    <w:qFormat/>
    <w:rsid w:val="001307BF"/>
    <w:pPr>
      <w:keepNext/>
      <w:keepLines/>
      <w:spacing w:before="260" w:after="260" w:line="416" w:lineRule="auto"/>
      <w:outlineLvl w:val="2"/>
    </w:pPr>
    <w:rPr>
      <w:rFonts w:ascii="Times New Roman" w:eastAsia="宋体" w:hAnsi="Times New Roman" w:cs="Times New Roman"/>
      <w:b/>
      <w:bCs/>
      <w:sz w:val="24"/>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07BF"/>
  </w:style>
  <w:style w:type="character" w:styleId="a3">
    <w:name w:val="Hyperlink"/>
    <w:basedOn w:val="a0"/>
    <w:uiPriority w:val="99"/>
    <w:semiHidden/>
    <w:unhideWhenUsed/>
    <w:rsid w:val="001307BF"/>
    <w:rPr>
      <w:color w:val="0000FF"/>
      <w:u w:val="single"/>
    </w:rPr>
  </w:style>
  <w:style w:type="character" w:customStyle="1" w:styleId="3Char">
    <w:name w:val="标题 3 Char"/>
    <w:basedOn w:val="a0"/>
    <w:link w:val="3"/>
    <w:rsid w:val="001307BF"/>
    <w:rPr>
      <w:rFonts w:ascii="Times New Roman" w:eastAsia="宋体" w:hAnsi="Times New Roman" w:cs="Times New Roman"/>
      <w:b/>
      <w:bCs/>
      <w:sz w:val="24"/>
      <w:szCs w:val="32"/>
      <w:lang/>
    </w:rPr>
  </w:style>
</w:styles>
</file>

<file path=word/webSettings.xml><?xml version="1.0" encoding="utf-8"?>
<w:webSettings xmlns:r="http://schemas.openxmlformats.org/officeDocument/2006/relationships" xmlns:w="http://schemas.openxmlformats.org/wordprocessingml/2006/main">
  <w:divs>
    <w:div w:id="880823529">
      <w:bodyDiv w:val="1"/>
      <w:marLeft w:val="0"/>
      <w:marRight w:val="0"/>
      <w:marTop w:val="0"/>
      <w:marBottom w:val="0"/>
      <w:divBdr>
        <w:top w:val="none" w:sz="0" w:space="0" w:color="auto"/>
        <w:left w:val="none" w:sz="0" w:space="0" w:color="auto"/>
        <w:bottom w:val="none" w:sz="0" w:space="0" w:color="auto"/>
        <w:right w:val="none" w:sz="0" w:space="0" w:color="auto"/>
      </w:divBdr>
      <w:divsChild>
        <w:div w:id="1945115671">
          <w:marLeft w:val="0"/>
          <w:marRight w:val="0"/>
          <w:marTop w:val="0"/>
          <w:marBottom w:val="225"/>
          <w:divBdr>
            <w:top w:val="none" w:sz="0" w:space="0" w:color="auto"/>
            <w:left w:val="none" w:sz="0" w:space="0" w:color="auto"/>
            <w:bottom w:val="none" w:sz="0" w:space="0" w:color="auto"/>
            <w:right w:val="none" w:sz="0" w:space="0" w:color="auto"/>
          </w:divBdr>
        </w:div>
        <w:div w:id="916979739">
          <w:marLeft w:val="0"/>
          <w:marRight w:val="0"/>
          <w:marTop w:val="0"/>
          <w:marBottom w:val="225"/>
          <w:divBdr>
            <w:top w:val="none" w:sz="0" w:space="0" w:color="auto"/>
            <w:left w:val="none" w:sz="0" w:space="0" w:color="auto"/>
            <w:bottom w:val="none" w:sz="0" w:space="0" w:color="auto"/>
            <w:right w:val="none" w:sz="0" w:space="0" w:color="auto"/>
          </w:divBdr>
        </w:div>
        <w:div w:id="35936554">
          <w:marLeft w:val="0"/>
          <w:marRight w:val="0"/>
          <w:marTop w:val="0"/>
          <w:marBottom w:val="225"/>
          <w:divBdr>
            <w:top w:val="none" w:sz="0" w:space="0" w:color="auto"/>
            <w:left w:val="none" w:sz="0" w:space="0" w:color="auto"/>
            <w:bottom w:val="none" w:sz="0" w:space="0" w:color="auto"/>
            <w:right w:val="none" w:sz="0" w:space="0" w:color="auto"/>
          </w:divBdr>
        </w:div>
      </w:divsChild>
    </w:div>
    <w:div w:id="1879274111">
      <w:bodyDiv w:val="1"/>
      <w:marLeft w:val="0"/>
      <w:marRight w:val="0"/>
      <w:marTop w:val="0"/>
      <w:marBottom w:val="0"/>
      <w:divBdr>
        <w:top w:val="none" w:sz="0" w:space="0" w:color="auto"/>
        <w:left w:val="none" w:sz="0" w:space="0" w:color="auto"/>
        <w:bottom w:val="none" w:sz="0" w:space="0" w:color="auto"/>
        <w:right w:val="none" w:sz="0" w:space="0" w:color="auto"/>
      </w:divBdr>
      <w:divsChild>
        <w:div w:id="2127507633">
          <w:marLeft w:val="0"/>
          <w:marRight w:val="0"/>
          <w:marTop w:val="0"/>
          <w:marBottom w:val="225"/>
          <w:divBdr>
            <w:top w:val="none" w:sz="0" w:space="0" w:color="auto"/>
            <w:left w:val="none" w:sz="0" w:space="0" w:color="auto"/>
            <w:bottom w:val="none" w:sz="0" w:space="0" w:color="auto"/>
            <w:right w:val="none" w:sz="0" w:space="0" w:color="auto"/>
          </w:divBdr>
        </w:div>
        <w:div w:id="488833300">
          <w:marLeft w:val="0"/>
          <w:marRight w:val="0"/>
          <w:marTop w:val="0"/>
          <w:marBottom w:val="225"/>
          <w:divBdr>
            <w:top w:val="none" w:sz="0" w:space="0" w:color="auto"/>
            <w:left w:val="none" w:sz="0" w:space="0" w:color="auto"/>
            <w:bottom w:val="none" w:sz="0" w:space="0" w:color="auto"/>
            <w:right w:val="none" w:sz="0" w:space="0" w:color="auto"/>
          </w:divBdr>
        </w:div>
        <w:div w:id="1629312882">
          <w:marLeft w:val="0"/>
          <w:marRight w:val="0"/>
          <w:marTop w:val="0"/>
          <w:marBottom w:val="225"/>
          <w:divBdr>
            <w:top w:val="none" w:sz="0" w:space="0" w:color="auto"/>
            <w:left w:val="none" w:sz="0" w:space="0" w:color="auto"/>
            <w:bottom w:val="none" w:sz="0" w:space="0" w:color="auto"/>
            <w:right w:val="none" w:sz="0" w:space="0" w:color="auto"/>
          </w:divBdr>
        </w:div>
        <w:div w:id="1698461388">
          <w:marLeft w:val="0"/>
          <w:marRight w:val="0"/>
          <w:marTop w:val="0"/>
          <w:marBottom w:val="225"/>
          <w:divBdr>
            <w:top w:val="none" w:sz="0" w:space="0" w:color="auto"/>
            <w:left w:val="none" w:sz="0" w:space="0" w:color="auto"/>
            <w:bottom w:val="none" w:sz="0" w:space="0" w:color="auto"/>
            <w:right w:val="none" w:sz="0" w:space="0" w:color="auto"/>
          </w:divBdr>
        </w:div>
        <w:div w:id="235166722">
          <w:marLeft w:val="0"/>
          <w:marRight w:val="0"/>
          <w:marTop w:val="0"/>
          <w:marBottom w:val="225"/>
          <w:divBdr>
            <w:top w:val="none" w:sz="0" w:space="0" w:color="auto"/>
            <w:left w:val="none" w:sz="0" w:space="0" w:color="auto"/>
            <w:bottom w:val="none" w:sz="0" w:space="0" w:color="auto"/>
            <w:right w:val="none" w:sz="0" w:space="0" w:color="auto"/>
          </w:divBdr>
        </w:div>
        <w:div w:id="1243567761">
          <w:marLeft w:val="0"/>
          <w:marRight w:val="0"/>
          <w:marTop w:val="0"/>
          <w:marBottom w:val="225"/>
          <w:divBdr>
            <w:top w:val="none" w:sz="0" w:space="0" w:color="auto"/>
            <w:left w:val="none" w:sz="0" w:space="0" w:color="auto"/>
            <w:bottom w:val="none" w:sz="0" w:space="0" w:color="auto"/>
            <w:right w:val="none" w:sz="0" w:space="0" w:color="auto"/>
          </w:divBdr>
        </w:div>
        <w:div w:id="361371133">
          <w:marLeft w:val="0"/>
          <w:marRight w:val="0"/>
          <w:marTop w:val="0"/>
          <w:marBottom w:val="225"/>
          <w:divBdr>
            <w:top w:val="none" w:sz="0" w:space="0" w:color="auto"/>
            <w:left w:val="none" w:sz="0" w:space="0" w:color="auto"/>
            <w:bottom w:val="none" w:sz="0" w:space="0" w:color="auto"/>
            <w:right w:val="none" w:sz="0" w:space="0" w:color="auto"/>
          </w:divBdr>
        </w:div>
        <w:div w:id="414982588">
          <w:marLeft w:val="0"/>
          <w:marRight w:val="0"/>
          <w:marTop w:val="0"/>
          <w:marBottom w:val="225"/>
          <w:divBdr>
            <w:top w:val="none" w:sz="0" w:space="0" w:color="auto"/>
            <w:left w:val="none" w:sz="0" w:space="0" w:color="auto"/>
            <w:bottom w:val="none" w:sz="0" w:space="0" w:color="auto"/>
            <w:right w:val="none" w:sz="0" w:space="0" w:color="auto"/>
          </w:divBdr>
        </w:div>
        <w:div w:id="1089346498">
          <w:marLeft w:val="0"/>
          <w:marRight w:val="0"/>
          <w:marTop w:val="0"/>
          <w:marBottom w:val="225"/>
          <w:divBdr>
            <w:top w:val="none" w:sz="0" w:space="0" w:color="auto"/>
            <w:left w:val="none" w:sz="0" w:space="0" w:color="auto"/>
            <w:bottom w:val="none" w:sz="0" w:space="0" w:color="auto"/>
            <w:right w:val="none" w:sz="0" w:space="0" w:color="auto"/>
          </w:divBdr>
        </w:div>
        <w:div w:id="1595549124">
          <w:marLeft w:val="0"/>
          <w:marRight w:val="0"/>
          <w:marTop w:val="0"/>
          <w:marBottom w:val="225"/>
          <w:divBdr>
            <w:top w:val="none" w:sz="0" w:space="0" w:color="auto"/>
            <w:left w:val="none" w:sz="0" w:space="0" w:color="auto"/>
            <w:bottom w:val="none" w:sz="0" w:space="0" w:color="auto"/>
            <w:right w:val="none" w:sz="0" w:space="0" w:color="auto"/>
          </w:divBdr>
        </w:div>
        <w:div w:id="1875773049">
          <w:marLeft w:val="0"/>
          <w:marRight w:val="0"/>
          <w:marTop w:val="0"/>
          <w:marBottom w:val="225"/>
          <w:divBdr>
            <w:top w:val="none" w:sz="0" w:space="0" w:color="auto"/>
            <w:left w:val="none" w:sz="0" w:space="0" w:color="auto"/>
            <w:bottom w:val="none" w:sz="0" w:space="0" w:color="auto"/>
            <w:right w:val="none" w:sz="0" w:space="0" w:color="auto"/>
          </w:divBdr>
        </w:div>
        <w:div w:id="1224104652">
          <w:marLeft w:val="0"/>
          <w:marRight w:val="0"/>
          <w:marTop w:val="0"/>
          <w:marBottom w:val="225"/>
          <w:divBdr>
            <w:top w:val="none" w:sz="0" w:space="0" w:color="auto"/>
            <w:left w:val="none" w:sz="0" w:space="0" w:color="auto"/>
            <w:bottom w:val="none" w:sz="0" w:space="0" w:color="auto"/>
            <w:right w:val="none" w:sz="0" w:space="0" w:color="auto"/>
          </w:divBdr>
        </w:div>
        <w:div w:id="1764762328">
          <w:marLeft w:val="0"/>
          <w:marRight w:val="0"/>
          <w:marTop w:val="0"/>
          <w:marBottom w:val="225"/>
          <w:divBdr>
            <w:top w:val="none" w:sz="0" w:space="0" w:color="auto"/>
            <w:left w:val="none" w:sz="0" w:space="0" w:color="auto"/>
            <w:bottom w:val="none" w:sz="0" w:space="0" w:color="auto"/>
            <w:right w:val="none" w:sz="0" w:space="0" w:color="auto"/>
          </w:divBdr>
        </w:div>
        <w:div w:id="1409115676">
          <w:marLeft w:val="0"/>
          <w:marRight w:val="0"/>
          <w:marTop w:val="0"/>
          <w:marBottom w:val="225"/>
          <w:divBdr>
            <w:top w:val="none" w:sz="0" w:space="0" w:color="auto"/>
            <w:left w:val="none" w:sz="0" w:space="0" w:color="auto"/>
            <w:bottom w:val="none" w:sz="0" w:space="0" w:color="auto"/>
            <w:right w:val="none" w:sz="0" w:space="0" w:color="auto"/>
          </w:divBdr>
        </w:div>
        <w:div w:id="1451437024">
          <w:marLeft w:val="0"/>
          <w:marRight w:val="0"/>
          <w:marTop w:val="0"/>
          <w:marBottom w:val="225"/>
          <w:divBdr>
            <w:top w:val="none" w:sz="0" w:space="0" w:color="auto"/>
            <w:left w:val="none" w:sz="0" w:space="0" w:color="auto"/>
            <w:bottom w:val="none" w:sz="0" w:space="0" w:color="auto"/>
            <w:right w:val="none" w:sz="0" w:space="0" w:color="auto"/>
          </w:divBdr>
        </w:div>
        <w:div w:id="1071121749">
          <w:marLeft w:val="0"/>
          <w:marRight w:val="0"/>
          <w:marTop w:val="0"/>
          <w:marBottom w:val="225"/>
          <w:divBdr>
            <w:top w:val="none" w:sz="0" w:space="0" w:color="auto"/>
            <w:left w:val="none" w:sz="0" w:space="0" w:color="auto"/>
            <w:bottom w:val="none" w:sz="0" w:space="0" w:color="auto"/>
            <w:right w:val="none" w:sz="0" w:space="0" w:color="auto"/>
          </w:divBdr>
        </w:div>
        <w:div w:id="591936159">
          <w:marLeft w:val="0"/>
          <w:marRight w:val="0"/>
          <w:marTop w:val="0"/>
          <w:marBottom w:val="225"/>
          <w:divBdr>
            <w:top w:val="none" w:sz="0" w:space="0" w:color="auto"/>
            <w:left w:val="none" w:sz="0" w:space="0" w:color="auto"/>
            <w:bottom w:val="none" w:sz="0" w:space="0" w:color="auto"/>
            <w:right w:val="none" w:sz="0" w:space="0" w:color="auto"/>
          </w:divBdr>
        </w:div>
        <w:div w:id="196236802">
          <w:marLeft w:val="0"/>
          <w:marRight w:val="0"/>
          <w:marTop w:val="0"/>
          <w:marBottom w:val="225"/>
          <w:divBdr>
            <w:top w:val="none" w:sz="0" w:space="0" w:color="auto"/>
            <w:left w:val="none" w:sz="0" w:space="0" w:color="auto"/>
            <w:bottom w:val="none" w:sz="0" w:space="0" w:color="auto"/>
            <w:right w:val="none" w:sz="0" w:space="0" w:color="auto"/>
          </w:divBdr>
        </w:div>
        <w:div w:id="828054577">
          <w:marLeft w:val="0"/>
          <w:marRight w:val="0"/>
          <w:marTop w:val="0"/>
          <w:marBottom w:val="225"/>
          <w:divBdr>
            <w:top w:val="none" w:sz="0" w:space="0" w:color="auto"/>
            <w:left w:val="none" w:sz="0" w:space="0" w:color="auto"/>
            <w:bottom w:val="none" w:sz="0" w:space="0" w:color="auto"/>
            <w:right w:val="none" w:sz="0" w:space="0" w:color="auto"/>
          </w:divBdr>
        </w:div>
        <w:div w:id="352998576">
          <w:marLeft w:val="0"/>
          <w:marRight w:val="0"/>
          <w:marTop w:val="0"/>
          <w:marBottom w:val="225"/>
          <w:divBdr>
            <w:top w:val="none" w:sz="0" w:space="0" w:color="auto"/>
            <w:left w:val="none" w:sz="0" w:space="0" w:color="auto"/>
            <w:bottom w:val="none" w:sz="0" w:space="0" w:color="auto"/>
            <w:right w:val="none" w:sz="0" w:space="0" w:color="auto"/>
          </w:divBdr>
        </w:div>
        <w:div w:id="1929803135">
          <w:marLeft w:val="0"/>
          <w:marRight w:val="0"/>
          <w:marTop w:val="0"/>
          <w:marBottom w:val="225"/>
          <w:divBdr>
            <w:top w:val="none" w:sz="0" w:space="0" w:color="auto"/>
            <w:left w:val="none" w:sz="0" w:space="0" w:color="auto"/>
            <w:bottom w:val="none" w:sz="0" w:space="0" w:color="auto"/>
            <w:right w:val="none" w:sz="0" w:space="0" w:color="auto"/>
          </w:divBdr>
        </w:div>
        <w:div w:id="961033537">
          <w:marLeft w:val="0"/>
          <w:marRight w:val="0"/>
          <w:marTop w:val="0"/>
          <w:marBottom w:val="225"/>
          <w:divBdr>
            <w:top w:val="none" w:sz="0" w:space="0" w:color="auto"/>
            <w:left w:val="none" w:sz="0" w:space="0" w:color="auto"/>
            <w:bottom w:val="none" w:sz="0" w:space="0" w:color="auto"/>
            <w:right w:val="none" w:sz="0" w:space="0" w:color="auto"/>
          </w:divBdr>
        </w:div>
        <w:div w:id="444496312">
          <w:marLeft w:val="0"/>
          <w:marRight w:val="0"/>
          <w:marTop w:val="0"/>
          <w:marBottom w:val="225"/>
          <w:divBdr>
            <w:top w:val="none" w:sz="0" w:space="0" w:color="auto"/>
            <w:left w:val="none" w:sz="0" w:space="0" w:color="auto"/>
            <w:bottom w:val="none" w:sz="0" w:space="0" w:color="auto"/>
            <w:right w:val="none" w:sz="0" w:space="0" w:color="auto"/>
          </w:divBdr>
        </w:div>
        <w:div w:id="802112946">
          <w:marLeft w:val="0"/>
          <w:marRight w:val="0"/>
          <w:marTop w:val="0"/>
          <w:marBottom w:val="225"/>
          <w:divBdr>
            <w:top w:val="none" w:sz="0" w:space="0" w:color="auto"/>
            <w:left w:val="none" w:sz="0" w:space="0" w:color="auto"/>
            <w:bottom w:val="none" w:sz="0" w:space="0" w:color="auto"/>
            <w:right w:val="none" w:sz="0" w:space="0" w:color="auto"/>
          </w:divBdr>
        </w:div>
        <w:div w:id="1821311291">
          <w:marLeft w:val="0"/>
          <w:marRight w:val="0"/>
          <w:marTop w:val="0"/>
          <w:marBottom w:val="225"/>
          <w:divBdr>
            <w:top w:val="none" w:sz="0" w:space="0" w:color="auto"/>
            <w:left w:val="none" w:sz="0" w:space="0" w:color="auto"/>
            <w:bottom w:val="none" w:sz="0" w:space="0" w:color="auto"/>
            <w:right w:val="none" w:sz="0" w:space="0" w:color="auto"/>
          </w:divBdr>
        </w:div>
        <w:div w:id="993607932">
          <w:marLeft w:val="0"/>
          <w:marRight w:val="0"/>
          <w:marTop w:val="0"/>
          <w:marBottom w:val="225"/>
          <w:divBdr>
            <w:top w:val="none" w:sz="0" w:space="0" w:color="auto"/>
            <w:left w:val="none" w:sz="0" w:space="0" w:color="auto"/>
            <w:bottom w:val="none" w:sz="0" w:space="0" w:color="auto"/>
            <w:right w:val="none" w:sz="0" w:space="0" w:color="auto"/>
          </w:divBdr>
        </w:div>
        <w:div w:id="262881482">
          <w:marLeft w:val="0"/>
          <w:marRight w:val="0"/>
          <w:marTop w:val="0"/>
          <w:marBottom w:val="225"/>
          <w:divBdr>
            <w:top w:val="none" w:sz="0" w:space="0" w:color="auto"/>
            <w:left w:val="none" w:sz="0" w:space="0" w:color="auto"/>
            <w:bottom w:val="none" w:sz="0" w:space="0" w:color="auto"/>
            <w:right w:val="none" w:sz="0" w:space="0" w:color="auto"/>
          </w:divBdr>
        </w:div>
        <w:div w:id="804350748">
          <w:marLeft w:val="0"/>
          <w:marRight w:val="0"/>
          <w:marTop w:val="0"/>
          <w:marBottom w:val="225"/>
          <w:divBdr>
            <w:top w:val="none" w:sz="0" w:space="0" w:color="auto"/>
            <w:left w:val="none" w:sz="0" w:space="0" w:color="auto"/>
            <w:bottom w:val="none" w:sz="0" w:space="0" w:color="auto"/>
            <w:right w:val="none" w:sz="0" w:space="0" w:color="auto"/>
          </w:divBdr>
        </w:div>
        <w:div w:id="1140154214">
          <w:marLeft w:val="0"/>
          <w:marRight w:val="0"/>
          <w:marTop w:val="0"/>
          <w:marBottom w:val="225"/>
          <w:divBdr>
            <w:top w:val="none" w:sz="0" w:space="0" w:color="auto"/>
            <w:left w:val="none" w:sz="0" w:space="0" w:color="auto"/>
            <w:bottom w:val="none" w:sz="0" w:space="0" w:color="auto"/>
            <w:right w:val="none" w:sz="0" w:space="0" w:color="auto"/>
          </w:divBdr>
        </w:div>
        <w:div w:id="1984192215">
          <w:marLeft w:val="0"/>
          <w:marRight w:val="0"/>
          <w:marTop w:val="0"/>
          <w:marBottom w:val="225"/>
          <w:divBdr>
            <w:top w:val="none" w:sz="0" w:space="0" w:color="auto"/>
            <w:left w:val="none" w:sz="0" w:space="0" w:color="auto"/>
            <w:bottom w:val="none" w:sz="0" w:space="0" w:color="auto"/>
            <w:right w:val="none" w:sz="0" w:space="0" w:color="auto"/>
          </w:divBdr>
        </w:div>
        <w:div w:id="1879270510">
          <w:marLeft w:val="0"/>
          <w:marRight w:val="0"/>
          <w:marTop w:val="0"/>
          <w:marBottom w:val="225"/>
          <w:divBdr>
            <w:top w:val="none" w:sz="0" w:space="0" w:color="auto"/>
            <w:left w:val="none" w:sz="0" w:space="0" w:color="auto"/>
            <w:bottom w:val="none" w:sz="0" w:space="0" w:color="auto"/>
            <w:right w:val="none" w:sz="0" w:space="0" w:color="auto"/>
          </w:divBdr>
        </w:div>
        <w:div w:id="1920943262">
          <w:marLeft w:val="0"/>
          <w:marRight w:val="0"/>
          <w:marTop w:val="0"/>
          <w:marBottom w:val="225"/>
          <w:divBdr>
            <w:top w:val="none" w:sz="0" w:space="0" w:color="auto"/>
            <w:left w:val="none" w:sz="0" w:space="0" w:color="auto"/>
            <w:bottom w:val="none" w:sz="0" w:space="0" w:color="auto"/>
            <w:right w:val="none" w:sz="0" w:space="0" w:color="auto"/>
          </w:divBdr>
        </w:div>
        <w:div w:id="1838154555">
          <w:marLeft w:val="0"/>
          <w:marRight w:val="0"/>
          <w:marTop w:val="0"/>
          <w:marBottom w:val="225"/>
          <w:divBdr>
            <w:top w:val="none" w:sz="0" w:space="0" w:color="auto"/>
            <w:left w:val="none" w:sz="0" w:space="0" w:color="auto"/>
            <w:bottom w:val="none" w:sz="0" w:space="0" w:color="auto"/>
            <w:right w:val="none" w:sz="0" w:space="0" w:color="auto"/>
          </w:divBdr>
        </w:div>
        <w:div w:id="2134404409">
          <w:marLeft w:val="0"/>
          <w:marRight w:val="0"/>
          <w:marTop w:val="0"/>
          <w:marBottom w:val="225"/>
          <w:divBdr>
            <w:top w:val="none" w:sz="0" w:space="0" w:color="auto"/>
            <w:left w:val="none" w:sz="0" w:space="0" w:color="auto"/>
            <w:bottom w:val="none" w:sz="0" w:space="0" w:color="auto"/>
            <w:right w:val="none" w:sz="0" w:space="0" w:color="auto"/>
          </w:divBdr>
        </w:div>
        <w:div w:id="1478842567">
          <w:marLeft w:val="0"/>
          <w:marRight w:val="0"/>
          <w:marTop w:val="0"/>
          <w:marBottom w:val="225"/>
          <w:divBdr>
            <w:top w:val="none" w:sz="0" w:space="0" w:color="auto"/>
            <w:left w:val="none" w:sz="0" w:space="0" w:color="auto"/>
            <w:bottom w:val="none" w:sz="0" w:space="0" w:color="auto"/>
            <w:right w:val="none" w:sz="0" w:space="0" w:color="auto"/>
          </w:divBdr>
        </w:div>
        <w:div w:id="2020232285">
          <w:marLeft w:val="0"/>
          <w:marRight w:val="0"/>
          <w:marTop w:val="0"/>
          <w:marBottom w:val="225"/>
          <w:divBdr>
            <w:top w:val="none" w:sz="0" w:space="0" w:color="auto"/>
            <w:left w:val="none" w:sz="0" w:space="0" w:color="auto"/>
            <w:bottom w:val="none" w:sz="0" w:space="0" w:color="auto"/>
            <w:right w:val="none" w:sz="0" w:space="0" w:color="auto"/>
          </w:divBdr>
        </w:div>
        <w:div w:id="466894383">
          <w:marLeft w:val="0"/>
          <w:marRight w:val="0"/>
          <w:marTop w:val="0"/>
          <w:marBottom w:val="225"/>
          <w:divBdr>
            <w:top w:val="none" w:sz="0" w:space="0" w:color="auto"/>
            <w:left w:val="none" w:sz="0" w:space="0" w:color="auto"/>
            <w:bottom w:val="none" w:sz="0" w:space="0" w:color="auto"/>
            <w:right w:val="none" w:sz="0" w:space="0" w:color="auto"/>
          </w:divBdr>
        </w:div>
        <w:div w:id="925304516">
          <w:marLeft w:val="0"/>
          <w:marRight w:val="0"/>
          <w:marTop w:val="0"/>
          <w:marBottom w:val="225"/>
          <w:divBdr>
            <w:top w:val="none" w:sz="0" w:space="0" w:color="auto"/>
            <w:left w:val="none" w:sz="0" w:space="0" w:color="auto"/>
            <w:bottom w:val="none" w:sz="0" w:space="0" w:color="auto"/>
            <w:right w:val="none" w:sz="0" w:space="0" w:color="auto"/>
          </w:divBdr>
        </w:div>
        <w:div w:id="207958080">
          <w:marLeft w:val="0"/>
          <w:marRight w:val="0"/>
          <w:marTop w:val="0"/>
          <w:marBottom w:val="225"/>
          <w:divBdr>
            <w:top w:val="none" w:sz="0" w:space="0" w:color="auto"/>
            <w:left w:val="none" w:sz="0" w:space="0" w:color="auto"/>
            <w:bottom w:val="none" w:sz="0" w:space="0" w:color="auto"/>
            <w:right w:val="none" w:sz="0" w:space="0" w:color="auto"/>
          </w:divBdr>
        </w:div>
        <w:div w:id="188639241">
          <w:marLeft w:val="0"/>
          <w:marRight w:val="0"/>
          <w:marTop w:val="0"/>
          <w:marBottom w:val="225"/>
          <w:divBdr>
            <w:top w:val="none" w:sz="0" w:space="0" w:color="auto"/>
            <w:left w:val="none" w:sz="0" w:space="0" w:color="auto"/>
            <w:bottom w:val="none" w:sz="0" w:space="0" w:color="auto"/>
            <w:right w:val="none" w:sz="0" w:space="0" w:color="auto"/>
          </w:divBdr>
        </w:div>
        <w:div w:id="1499423780">
          <w:marLeft w:val="0"/>
          <w:marRight w:val="0"/>
          <w:marTop w:val="0"/>
          <w:marBottom w:val="225"/>
          <w:divBdr>
            <w:top w:val="none" w:sz="0" w:space="0" w:color="auto"/>
            <w:left w:val="none" w:sz="0" w:space="0" w:color="auto"/>
            <w:bottom w:val="none" w:sz="0" w:space="0" w:color="auto"/>
            <w:right w:val="none" w:sz="0" w:space="0" w:color="auto"/>
          </w:divBdr>
        </w:div>
        <w:div w:id="1659267696">
          <w:marLeft w:val="0"/>
          <w:marRight w:val="0"/>
          <w:marTop w:val="0"/>
          <w:marBottom w:val="225"/>
          <w:divBdr>
            <w:top w:val="none" w:sz="0" w:space="0" w:color="auto"/>
            <w:left w:val="none" w:sz="0" w:space="0" w:color="auto"/>
            <w:bottom w:val="none" w:sz="0" w:space="0" w:color="auto"/>
            <w:right w:val="none" w:sz="0" w:space="0" w:color="auto"/>
          </w:divBdr>
        </w:div>
        <w:div w:id="1766462034">
          <w:marLeft w:val="0"/>
          <w:marRight w:val="0"/>
          <w:marTop w:val="0"/>
          <w:marBottom w:val="225"/>
          <w:divBdr>
            <w:top w:val="none" w:sz="0" w:space="0" w:color="auto"/>
            <w:left w:val="none" w:sz="0" w:space="0" w:color="auto"/>
            <w:bottom w:val="none" w:sz="0" w:space="0" w:color="auto"/>
            <w:right w:val="none" w:sz="0" w:space="0" w:color="auto"/>
          </w:divBdr>
        </w:div>
        <w:div w:id="1866819607">
          <w:marLeft w:val="0"/>
          <w:marRight w:val="0"/>
          <w:marTop w:val="0"/>
          <w:marBottom w:val="225"/>
          <w:divBdr>
            <w:top w:val="none" w:sz="0" w:space="0" w:color="auto"/>
            <w:left w:val="none" w:sz="0" w:space="0" w:color="auto"/>
            <w:bottom w:val="none" w:sz="0" w:space="0" w:color="auto"/>
            <w:right w:val="none" w:sz="0" w:space="0" w:color="auto"/>
          </w:divBdr>
        </w:div>
        <w:div w:id="1387725404">
          <w:marLeft w:val="0"/>
          <w:marRight w:val="0"/>
          <w:marTop w:val="0"/>
          <w:marBottom w:val="225"/>
          <w:divBdr>
            <w:top w:val="none" w:sz="0" w:space="0" w:color="auto"/>
            <w:left w:val="none" w:sz="0" w:space="0" w:color="auto"/>
            <w:bottom w:val="none" w:sz="0" w:space="0" w:color="auto"/>
            <w:right w:val="none" w:sz="0" w:space="0" w:color="auto"/>
          </w:divBdr>
        </w:div>
        <w:div w:id="2096779230">
          <w:marLeft w:val="0"/>
          <w:marRight w:val="0"/>
          <w:marTop w:val="0"/>
          <w:marBottom w:val="225"/>
          <w:divBdr>
            <w:top w:val="none" w:sz="0" w:space="0" w:color="auto"/>
            <w:left w:val="none" w:sz="0" w:space="0" w:color="auto"/>
            <w:bottom w:val="none" w:sz="0" w:space="0" w:color="auto"/>
            <w:right w:val="none" w:sz="0" w:space="0" w:color="auto"/>
          </w:divBdr>
        </w:div>
        <w:div w:id="328752476">
          <w:marLeft w:val="0"/>
          <w:marRight w:val="0"/>
          <w:marTop w:val="0"/>
          <w:marBottom w:val="225"/>
          <w:divBdr>
            <w:top w:val="none" w:sz="0" w:space="0" w:color="auto"/>
            <w:left w:val="none" w:sz="0" w:space="0" w:color="auto"/>
            <w:bottom w:val="none" w:sz="0" w:space="0" w:color="auto"/>
            <w:right w:val="none" w:sz="0" w:space="0" w:color="auto"/>
          </w:divBdr>
        </w:div>
        <w:div w:id="734593073">
          <w:marLeft w:val="0"/>
          <w:marRight w:val="0"/>
          <w:marTop w:val="0"/>
          <w:marBottom w:val="225"/>
          <w:divBdr>
            <w:top w:val="none" w:sz="0" w:space="0" w:color="auto"/>
            <w:left w:val="none" w:sz="0" w:space="0" w:color="auto"/>
            <w:bottom w:val="none" w:sz="0" w:space="0" w:color="auto"/>
            <w:right w:val="none" w:sz="0" w:space="0" w:color="auto"/>
          </w:divBdr>
        </w:div>
        <w:div w:id="1754888975">
          <w:marLeft w:val="0"/>
          <w:marRight w:val="0"/>
          <w:marTop w:val="0"/>
          <w:marBottom w:val="225"/>
          <w:divBdr>
            <w:top w:val="none" w:sz="0" w:space="0" w:color="auto"/>
            <w:left w:val="none" w:sz="0" w:space="0" w:color="auto"/>
            <w:bottom w:val="none" w:sz="0" w:space="0" w:color="auto"/>
            <w:right w:val="none" w:sz="0" w:space="0" w:color="auto"/>
          </w:divBdr>
        </w:div>
        <w:div w:id="443692419">
          <w:marLeft w:val="0"/>
          <w:marRight w:val="0"/>
          <w:marTop w:val="0"/>
          <w:marBottom w:val="225"/>
          <w:divBdr>
            <w:top w:val="none" w:sz="0" w:space="0" w:color="auto"/>
            <w:left w:val="none" w:sz="0" w:space="0" w:color="auto"/>
            <w:bottom w:val="none" w:sz="0" w:space="0" w:color="auto"/>
            <w:right w:val="none" w:sz="0" w:space="0" w:color="auto"/>
          </w:divBdr>
        </w:div>
        <w:div w:id="49577834">
          <w:marLeft w:val="0"/>
          <w:marRight w:val="0"/>
          <w:marTop w:val="0"/>
          <w:marBottom w:val="225"/>
          <w:divBdr>
            <w:top w:val="none" w:sz="0" w:space="0" w:color="auto"/>
            <w:left w:val="none" w:sz="0" w:space="0" w:color="auto"/>
            <w:bottom w:val="none" w:sz="0" w:space="0" w:color="auto"/>
            <w:right w:val="none" w:sz="0" w:space="0" w:color="auto"/>
          </w:divBdr>
        </w:div>
        <w:div w:id="1174881654">
          <w:marLeft w:val="0"/>
          <w:marRight w:val="0"/>
          <w:marTop w:val="0"/>
          <w:marBottom w:val="225"/>
          <w:divBdr>
            <w:top w:val="none" w:sz="0" w:space="0" w:color="auto"/>
            <w:left w:val="none" w:sz="0" w:space="0" w:color="auto"/>
            <w:bottom w:val="none" w:sz="0" w:space="0" w:color="auto"/>
            <w:right w:val="none" w:sz="0" w:space="0" w:color="auto"/>
          </w:divBdr>
        </w:div>
        <w:div w:id="1800302240">
          <w:marLeft w:val="0"/>
          <w:marRight w:val="0"/>
          <w:marTop w:val="0"/>
          <w:marBottom w:val="225"/>
          <w:divBdr>
            <w:top w:val="none" w:sz="0" w:space="0" w:color="auto"/>
            <w:left w:val="none" w:sz="0" w:space="0" w:color="auto"/>
            <w:bottom w:val="none" w:sz="0" w:space="0" w:color="auto"/>
            <w:right w:val="none" w:sz="0" w:space="0" w:color="auto"/>
          </w:divBdr>
        </w:div>
        <w:div w:id="102190053">
          <w:marLeft w:val="0"/>
          <w:marRight w:val="0"/>
          <w:marTop w:val="0"/>
          <w:marBottom w:val="225"/>
          <w:divBdr>
            <w:top w:val="none" w:sz="0" w:space="0" w:color="auto"/>
            <w:left w:val="none" w:sz="0" w:space="0" w:color="auto"/>
            <w:bottom w:val="none" w:sz="0" w:space="0" w:color="auto"/>
            <w:right w:val="none" w:sz="0" w:space="0" w:color="auto"/>
          </w:divBdr>
        </w:div>
        <w:div w:id="479155584">
          <w:marLeft w:val="0"/>
          <w:marRight w:val="0"/>
          <w:marTop w:val="0"/>
          <w:marBottom w:val="225"/>
          <w:divBdr>
            <w:top w:val="none" w:sz="0" w:space="0" w:color="auto"/>
            <w:left w:val="none" w:sz="0" w:space="0" w:color="auto"/>
            <w:bottom w:val="none" w:sz="0" w:space="0" w:color="auto"/>
            <w:right w:val="none" w:sz="0" w:space="0" w:color="auto"/>
          </w:divBdr>
        </w:div>
        <w:div w:id="580062556">
          <w:marLeft w:val="0"/>
          <w:marRight w:val="0"/>
          <w:marTop w:val="0"/>
          <w:marBottom w:val="225"/>
          <w:divBdr>
            <w:top w:val="none" w:sz="0" w:space="0" w:color="auto"/>
            <w:left w:val="none" w:sz="0" w:space="0" w:color="auto"/>
            <w:bottom w:val="none" w:sz="0" w:space="0" w:color="auto"/>
            <w:right w:val="none" w:sz="0" w:space="0" w:color="auto"/>
          </w:divBdr>
        </w:div>
        <w:div w:id="307633078">
          <w:marLeft w:val="0"/>
          <w:marRight w:val="0"/>
          <w:marTop w:val="0"/>
          <w:marBottom w:val="225"/>
          <w:divBdr>
            <w:top w:val="none" w:sz="0" w:space="0" w:color="auto"/>
            <w:left w:val="none" w:sz="0" w:space="0" w:color="auto"/>
            <w:bottom w:val="none" w:sz="0" w:space="0" w:color="auto"/>
            <w:right w:val="none" w:sz="0" w:space="0" w:color="auto"/>
          </w:divBdr>
        </w:div>
        <w:div w:id="600183060">
          <w:marLeft w:val="0"/>
          <w:marRight w:val="0"/>
          <w:marTop w:val="0"/>
          <w:marBottom w:val="225"/>
          <w:divBdr>
            <w:top w:val="none" w:sz="0" w:space="0" w:color="auto"/>
            <w:left w:val="none" w:sz="0" w:space="0" w:color="auto"/>
            <w:bottom w:val="none" w:sz="0" w:space="0" w:color="auto"/>
            <w:right w:val="none" w:sz="0" w:space="0" w:color="auto"/>
          </w:divBdr>
        </w:div>
        <w:div w:id="689257473">
          <w:marLeft w:val="0"/>
          <w:marRight w:val="0"/>
          <w:marTop w:val="0"/>
          <w:marBottom w:val="225"/>
          <w:divBdr>
            <w:top w:val="none" w:sz="0" w:space="0" w:color="auto"/>
            <w:left w:val="none" w:sz="0" w:space="0" w:color="auto"/>
            <w:bottom w:val="none" w:sz="0" w:space="0" w:color="auto"/>
            <w:right w:val="none" w:sz="0" w:space="0" w:color="auto"/>
          </w:divBdr>
        </w:div>
        <w:div w:id="506405130">
          <w:marLeft w:val="0"/>
          <w:marRight w:val="0"/>
          <w:marTop w:val="0"/>
          <w:marBottom w:val="225"/>
          <w:divBdr>
            <w:top w:val="none" w:sz="0" w:space="0" w:color="auto"/>
            <w:left w:val="none" w:sz="0" w:space="0" w:color="auto"/>
            <w:bottom w:val="none" w:sz="0" w:space="0" w:color="auto"/>
            <w:right w:val="none" w:sz="0" w:space="0" w:color="auto"/>
          </w:divBdr>
        </w:div>
        <w:div w:id="2125879143">
          <w:marLeft w:val="0"/>
          <w:marRight w:val="0"/>
          <w:marTop w:val="0"/>
          <w:marBottom w:val="225"/>
          <w:divBdr>
            <w:top w:val="none" w:sz="0" w:space="0" w:color="auto"/>
            <w:left w:val="none" w:sz="0" w:space="0" w:color="auto"/>
            <w:bottom w:val="none" w:sz="0" w:space="0" w:color="auto"/>
            <w:right w:val="none" w:sz="0" w:space="0" w:color="auto"/>
          </w:divBdr>
        </w:div>
        <w:div w:id="535849281">
          <w:marLeft w:val="0"/>
          <w:marRight w:val="0"/>
          <w:marTop w:val="0"/>
          <w:marBottom w:val="225"/>
          <w:divBdr>
            <w:top w:val="none" w:sz="0" w:space="0" w:color="auto"/>
            <w:left w:val="none" w:sz="0" w:space="0" w:color="auto"/>
            <w:bottom w:val="none" w:sz="0" w:space="0" w:color="auto"/>
            <w:right w:val="none" w:sz="0" w:space="0" w:color="auto"/>
          </w:divBdr>
        </w:div>
        <w:div w:id="264382258">
          <w:marLeft w:val="0"/>
          <w:marRight w:val="0"/>
          <w:marTop w:val="0"/>
          <w:marBottom w:val="225"/>
          <w:divBdr>
            <w:top w:val="none" w:sz="0" w:space="0" w:color="auto"/>
            <w:left w:val="none" w:sz="0" w:space="0" w:color="auto"/>
            <w:bottom w:val="none" w:sz="0" w:space="0" w:color="auto"/>
            <w:right w:val="none" w:sz="0" w:space="0" w:color="auto"/>
          </w:divBdr>
        </w:div>
        <w:div w:id="1146052029">
          <w:marLeft w:val="0"/>
          <w:marRight w:val="0"/>
          <w:marTop w:val="0"/>
          <w:marBottom w:val="225"/>
          <w:divBdr>
            <w:top w:val="none" w:sz="0" w:space="0" w:color="auto"/>
            <w:left w:val="none" w:sz="0" w:space="0" w:color="auto"/>
            <w:bottom w:val="none" w:sz="0" w:space="0" w:color="auto"/>
            <w:right w:val="none" w:sz="0" w:space="0" w:color="auto"/>
          </w:divBdr>
        </w:div>
        <w:div w:id="866408831">
          <w:marLeft w:val="0"/>
          <w:marRight w:val="0"/>
          <w:marTop w:val="0"/>
          <w:marBottom w:val="225"/>
          <w:divBdr>
            <w:top w:val="none" w:sz="0" w:space="0" w:color="auto"/>
            <w:left w:val="none" w:sz="0" w:space="0" w:color="auto"/>
            <w:bottom w:val="none" w:sz="0" w:space="0" w:color="auto"/>
            <w:right w:val="none" w:sz="0" w:space="0" w:color="auto"/>
          </w:divBdr>
        </w:div>
        <w:div w:id="275261815">
          <w:marLeft w:val="0"/>
          <w:marRight w:val="0"/>
          <w:marTop w:val="0"/>
          <w:marBottom w:val="225"/>
          <w:divBdr>
            <w:top w:val="none" w:sz="0" w:space="0" w:color="auto"/>
            <w:left w:val="none" w:sz="0" w:space="0" w:color="auto"/>
            <w:bottom w:val="none" w:sz="0" w:space="0" w:color="auto"/>
            <w:right w:val="none" w:sz="0" w:space="0" w:color="auto"/>
          </w:divBdr>
        </w:div>
        <w:div w:id="1021323680">
          <w:marLeft w:val="0"/>
          <w:marRight w:val="0"/>
          <w:marTop w:val="0"/>
          <w:marBottom w:val="225"/>
          <w:divBdr>
            <w:top w:val="none" w:sz="0" w:space="0" w:color="auto"/>
            <w:left w:val="none" w:sz="0" w:space="0" w:color="auto"/>
            <w:bottom w:val="none" w:sz="0" w:space="0" w:color="auto"/>
            <w:right w:val="none" w:sz="0" w:space="0" w:color="auto"/>
          </w:divBdr>
        </w:div>
        <w:div w:id="1997024794">
          <w:marLeft w:val="0"/>
          <w:marRight w:val="0"/>
          <w:marTop w:val="0"/>
          <w:marBottom w:val="225"/>
          <w:divBdr>
            <w:top w:val="none" w:sz="0" w:space="0" w:color="auto"/>
            <w:left w:val="none" w:sz="0" w:space="0" w:color="auto"/>
            <w:bottom w:val="none" w:sz="0" w:space="0" w:color="auto"/>
            <w:right w:val="none" w:sz="0" w:space="0" w:color="auto"/>
          </w:divBdr>
        </w:div>
        <w:div w:id="668407652">
          <w:marLeft w:val="0"/>
          <w:marRight w:val="0"/>
          <w:marTop w:val="0"/>
          <w:marBottom w:val="225"/>
          <w:divBdr>
            <w:top w:val="none" w:sz="0" w:space="0" w:color="auto"/>
            <w:left w:val="none" w:sz="0" w:space="0" w:color="auto"/>
            <w:bottom w:val="none" w:sz="0" w:space="0" w:color="auto"/>
            <w:right w:val="none" w:sz="0" w:space="0" w:color="auto"/>
          </w:divBdr>
        </w:div>
        <w:div w:id="1540510999">
          <w:marLeft w:val="0"/>
          <w:marRight w:val="0"/>
          <w:marTop w:val="0"/>
          <w:marBottom w:val="225"/>
          <w:divBdr>
            <w:top w:val="none" w:sz="0" w:space="0" w:color="auto"/>
            <w:left w:val="none" w:sz="0" w:space="0" w:color="auto"/>
            <w:bottom w:val="none" w:sz="0" w:space="0" w:color="auto"/>
            <w:right w:val="none" w:sz="0" w:space="0" w:color="auto"/>
          </w:divBdr>
        </w:div>
        <w:div w:id="1660844514">
          <w:marLeft w:val="0"/>
          <w:marRight w:val="0"/>
          <w:marTop w:val="0"/>
          <w:marBottom w:val="225"/>
          <w:divBdr>
            <w:top w:val="none" w:sz="0" w:space="0" w:color="auto"/>
            <w:left w:val="none" w:sz="0" w:space="0" w:color="auto"/>
            <w:bottom w:val="none" w:sz="0" w:space="0" w:color="auto"/>
            <w:right w:val="none" w:sz="0" w:space="0" w:color="auto"/>
          </w:divBdr>
        </w:div>
        <w:div w:id="1916548153">
          <w:marLeft w:val="0"/>
          <w:marRight w:val="0"/>
          <w:marTop w:val="0"/>
          <w:marBottom w:val="225"/>
          <w:divBdr>
            <w:top w:val="none" w:sz="0" w:space="0" w:color="auto"/>
            <w:left w:val="none" w:sz="0" w:space="0" w:color="auto"/>
            <w:bottom w:val="none" w:sz="0" w:space="0" w:color="auto"/>
            <w:right w:val="none" w:sz="0" w:space="0" w:color="auto"/>
          </w:divBdr>
        </w:div>
        <w:div w:id="148642441">
          <w:marLeft w:val="0"/>
          <w:marRight w:val="0"/>
          <w:marTop w:val="0"/>
          <w:marBottom w:val="225"/>
          <w:divBdr>
            <w:top w:val="none" w:sz="0" w:space="0" w:color="auto"/>
            <w:left w:val="none" w:sz="0" w:space="0" w:color="auto"/>
            <w:bottom w:val="none" w:sz="0" w:space="0" w:color="auto"/>
            <w:right w:val="none" w:sz="0" w:space="0" w:color="auto"/>
          </w:divBdr>
        </w:div>
        <w:div w:id="2124613030">
          <w:marLeft w:val="0"/>
          <w:marRight w:val="0"/>
          <w:marTop w:val="0"/>
          <w:marBottom w:val="225"/>
          <w:divBdr>
            <w:top w:val="none" w:sz="0" w:space="0" w:color="auto"/>
            <w:left w:val="none" w:sz="0" w:space="0" w:color="auto"/>
            <w:bottom w:val="none" w:sz="0" w:space="0" w:color="auto"/>
            <w:right w:val="none" w:sz="0" w:space="0" w:color="auto"/>
          </w:divBdr>
        </w:div>
        <w:div w:id="668752268">
          <w:marLeft w:val="0"/>
          <w:marRight w:val="0"/>
          <w:marTop w:val="0"/>
          <w:marBottom w:val="225"/>
          <w:divBdr>
            <w:top w:val="none" w:sz="0" w:space="0" w:color="auto"/>
            <w:left w:val="none" w:sz="0" w:space="0" w:color="auto"/>
            <w:bottom w:val="none" w:sz="0" w:space="0" w:color="auto"/>
            <w:right w:val="none" w:sz="0" w:space="0" w:color="auto"/>
          </w:divBdr>
        </w:div>
        <w:div w:id="1694841337">
          <w:marLeft w:val="0"/>
          <w:marRight w:val="0"/>
          <w:marTop w:val="0"/>
          <w:marBottom w:val="225"/>
          <w:divBdr>
            <w:top w:val="none" w:sz="0" w:space="0" w:color="auto"/>
            <w:left w:val="none" w:sz="0" w:space="0" w:color="auto"/>
            <w:bottom w:val="none" w:sz="0" w:space="0" w:color="auto"/>
            <w:right w:val="none" w:sz="0" w:space="0" w:color="auto"/>
          </w:divBdr>
        </w:div>
        <w:div w:id="281226851">
          <w:marLeft w:val="0"/>
          <w:marRight w:val="0"/>
          <w:marTop w:val="0"/>
          <w:marBottom w:val="225"/>
          <w:divBdr>
            <w:top w:val="none" w:sz="0" w:space="0" w:color="auto"/>
            <w:left w:val="none" w:sz="0" w:space="0" w:color="auto"/>
            <w:bottom w:val="none" w:sz="0" w:space="0" w:color="auto"/>
            <w:right w:val="none" w:sz="0" w:space="0" w:color="auto"/>
          </w:divBdr>
        </w:div>
        <w:div w:id="414984891">
          <w:marLeft w:val="0"/>
          <w:marRight w:val="0"/>
          <w:marTop w:val="0"/>
          <w:marBottom w:val="225"/>
          <w:divBdr>
            <w:top w:val="none" w:sz="0" w:space="0" w:color="auto"/>
            <w:left w:val="none" w:sz="0" w:space="0" w:color="auto"/>
            <w:bottom w:val="none" w:sz="0" w:space="0" w:color="auto"/>
            <w:right w:val="none" w:sz="0" w:space="0" w:color="auto"/>
          </w:divBdr>
        </w:div>
        <w:div w:id="14353935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D%9E%E9%87%91%E8%9E%8D%E6%9C%BA%E6%9E%84%E6%94%AF%E4%BB%98%E6%9C%8D%E5%8A%A1%E7%AE%A1%E7%90%86%E5%8A%9E%E6%B3%95" TargetMode="External"/><Relationship Id="rId3" Type="http://schemas.openxmlformats.org/officeDocument/2006/relationships/webSettings" Target="webSettings.xml"/><Relationship Id="rId7" Type="http://schemas.openxmlformats.org/officeDocument/2006/relationships/hyperlink" Target="https://baike.baidu.com/item/%E4%B8%AD%E5%8D%8E%E4%BA%BA%E6%B0%91%E5%85%B1%E5%92%8C%E5%9B%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8D%8E%E4%BA%BA%E6%B0%91%E5%85%B1%E5%92%8C%E5%9B%BD%E5%8F%8D%E6%81%90%E6%80%96%E4%B8%BB%E4%B9%89%E6%B3%95" TargetMode="External"/><Relationship Id="rId5" Type="http://schemas.openxmlformats.org/officeDocument/2006/relationships/hyperlink" Target="https://baike.baidu.com/item/%E4%B8%AD%E5%8D%8E%E4%BA%BA%E6%B0%91%E5%85%B1%E5%92%8C%E5%9B%BD%E4%B8%AD%E5%9B%BD%E4%BA%BA%E6%B0%91%E9%93%B6%E8%A1%8C%E6%B3%95" TargetMode="External"/><Relationship Id="rId10" Type="http://schemas.openxmlformats.org/officeDocument/2006/relationships/theme" Target="theme/theme1.xml"/><Relationship Id="rId4" Type="http://schemas.openxmlformats.org/officeDocument/2006/relationships/hyperlink" Target="https://baike.baidu.com/item/%E4%B8%AD%E5%8D%8E%E4%BA%BA%E6%B0%91%E5%85%B1%E5%92%8C%E5%9B%BD%E5%8F%8D%E6%B4%97%E9%92%B1%E6%B3%95"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781</Words>
  <Characters>4457</Characters>
  <Application>Microsoft Office Word</Application>
  <DocSecurity>0</DocSecurity>
  <Lines>37</Lines>
  <Paragraphs>10</Paragraphs>
  <ScaleCrop>false</ScaleCrop>
  <Company>Hfzq LTD.</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孙维</dc:creator>
  <cp:lastModifiedBy>孙维</cp:lastModifiedBy>
  <cp:revision>1</cp:revision>
  <dcterms:created xsi:type="dcterms:W3CDTF">2017-07-27T01:51:00Z</dcterms:created>
  <dcterms:modified xsi:type="dcterms:W3CDTF">2017-07-27T02:02:00Z</dcterms:modified>
</cp:coreProperties>
</file>