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977" w:rsidRDefault="00CA5977" w:rsidP="00CA5977">
      <w:pPr>
        <w:pStyle w:val="a5"/>
        <w:wordWrap w:val="0"/>
        <w:spacing w:before="0" w:beforeAutospacing="0" w:after="0" w:afterAutospacing="0" w:line="348" w:lineRule="atLeast"/>
        <w:ind w:firstLine="480"/>
        <w:jc w:val="center"/>
        <w:textAlignment w:val="baseline"/>
        <w:rPr>
          <w:rFonts w:ascii="Helvetica" w:hAnsi="Helvetica"/>
          <w:color w:val="222222"/>
          <w:sz w:val="22"/>
          <w:szCs w:val="22"/>
        </w:rPr>
      </w:pPr>
      <w:r>
        <w:rPr>
          <w:rStyle w:val="a6"/>
          <w:rFonts w:ascii="inherit" w:hAnsi="inherit"/>
          <w:color w:val="222222"/>
          <w:sz w:val="22"/>
          <w:szCs w:val="22"/>
          <w:bdr w:val="none" w:sz="0" w:space="0" w:color="auto" w:frame="1"/>
        </w:rPr>
        <w:t>《中国人民银行关于加强反洗钱客户身份识别有关工作的通知》</w:t>
      </w:r>
    </w:p>
    <w:p w:rsidR="00CA5977" w:rsidRDefault="00CA5977" w:rsidP="00CA5977">
      <w:pPr>
        <w:pStyle w:val="a5"/>
        <w:wordWrap w:val="0"/>
        <w:spacing w:before="0" w:beforeAutospacing="0" w:after="240" w:afterAutospacing="0" w:line="348" w:lineRule="atLeast"/>
        <w:ind w:firstLine="480"/>
        <w:jc w:val="center"/>
        <w:textAlignment w:val="baseline"/>
        <w:rPr>
          <w:rFonts w:ascii="Helvetica" w:hAnsi="Helvetica"/>
          <w:color w:val="222222"/>
          <w:sz w:val="22"/>
          <w:szCs w:val="22"/>
        </w:rPr>
      </w:pPr>
      <w:r>
        <w:rPr>
          <w:rFonts w:ascii="Helvetica" w:hAnsi="Helvetica"/>
          <w:color w:val="222222"/>
          <w:sz w:val="22"/>
          <w:szCs w:val="22"/>
        </w:rPr>
        <w:t>银发【</w:t>
      </w:r>
      <w:r>
        <w:rPr>
          <w:rFonts w:ascii="Helvetica" w:hAnsi="Helvetica"/>
          <w:color w:val="222222"/>
          <w:sz w:val="22"/>
          <w:szCs w:val="22"/>
        </w:rPr>
        <w:t>2017</w:t>
      </w:r>
      <w:r>
        <w:rPr>
          <w:rFonts w:ascii="Helvetica" w:hAnsi="Helvetica"/>
          <w:color w:val="222222"/>
          <w:sz w:val="22"/>
          <w:szCs w:val="22"/>
        </w:rPr>
        <w:t>】</w:t>
      </w:r>
      <w:r>
        <w:rPr>
          <w:rFonts w:ascii="Helvetica" w:hAnsi="Helvetica"/>
          <w:color w:val="222222"/>
          <w:sz w:val="22"/>
          <w:szCs w:val="22"/>
        </w:rPr>
        <w:t>235</w:t>
      </w:r>
      <w:r>
        <w:rPr>
          <w:rFonts w:ascii="Helvetica" w:hAnsi="Helvetica"/>
          <w:color w:val="222222"/>
          <w:sz w:val="22"/>
          <w:szCs w:val="22"/>
        </w:rPr>
        <w:t>号</w:t>
      </w:r>
    </w:p>
    <w:p w:rsidR="00CA5977" w:rsidRDefault="00CA5977" w:rsidP="00CA5977">
      <w:pPr>
        <w:pStyle w:val="a5"/>
        <w:wordWrap w:val="0"/>
        <w:spacing w:before="0" w:beforeAutospacing="0" w:after="0" w:afterAutospacing="0" w:line="348" w:lineRule="atLeast"/>
        <w:ind w:firstLine="480"/>
        <w:textAlignment w:val="baseline"/>
        <w:rPr>
          <w:rFonts w:ascii="Helvetica" w:hAnsi="Helvetica"/>
          <w:color w:val="222222"/>
          <w:sz w:val="22"/>
          <w:szCs w:val="22"/>
        </w:rPr>
      </w:pPr>
      <w:r>
        <w:rPr>
          <w:rFonts w:ascii="inherit" w:hAnsi="inherit"/>
          <w:color w:val="222222"/>
          <w:sz w:val="22"/>
          <w:szCs w:val="22"/>
          <w:bdr w:val="none" w:sz="0" w:space="0" w:color="auto" w:frame="1"/>
        </w:rPr>
        <w:t>中国人民银行上海总部，各分行、营业管理部，各省会（首府）城市中心支行、各副省级城市中心支行；国家开发银行、各政策性银行、国有商业银行、股份制商业银行，中国邮政储蓄银行，中国银联，农</w:t>
      </w:r>
      <w:proofErr w:type="gramStart"/>
      <w:r>
        <w:rPr>
          <w:rFonts w:ascii="inherit" w:hAnsi="inherit"/>
          <w:color w:val="222222"/>
          <w:sz w:val="22"/>
          <w:szCs w:val="22"/>
          <w:bdr w:val="none" w:sz="0" w:space="0" w:color="auto" w:frame="1"/>
        </w:rPr>
        <w:t>信银资金</w:t>
      </w:r>
      <w:proofErr w:type="gramEnd"/>
      <w:r>
        <w:rPr>
          <w:rFonts w:ascii="inherit" w:hAnsi="inherit"/>
          <w:color w:val="222222"/>
          <w:sz w:val="22"/>
          <w:szCs w:val="22"/>
          <w:bdr w:val="none" w:sz="0" w:space="0" w:color="auto" w:frame="1"/>
        </w:rPr>
        <w:t>清算中心，城市商业银行资金清算中心：</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t>为落实风险为本工作方法，指导反洗</w:t>
      </w:r>
      <w:proofErr w:type="gramStart"/>
      <w:r>
        <w:rPr>
          <w:rFonts w:ascii="Helvetica" w:hAnsi="Helvetica"/>
          <w:color w:val="222222"/>
          <w:sz w:val="22"/>
          <w:szCs w:val="22"/>
        </w:rPr>
        <w:t>钱义务</w:t>
      </w:r>
      <w:proofErr w:type="gramEnd"/>
      <w:r>
        <w:rPr>
          <w:rFonts w:ascii="Helvetica" w:hAnsi="Helvetica"/>
          <w:color w:val="222222"/>
          <w:sz w:val="22"/>
          <w:szCs w:val="22"/>
        </w:rPr>
        <w:t>机构（以下简称义务机构）进一步提高反洗</w:t>
      </w:r>
      <w:proofErr w:type="gramStart"/>
      <w:r>
        <w:rPr>
          <w:rFonts w:ascii="Helvetica" w:hAnsi="Helvetica"/>
          <w:color w:val="222222"/>
          <w:sz w:val="22"/>
          <w:szCs w:val="22"/>
        </w:rPr>
        <w:t>钱客户</w:t>
      </w:r>
      <w:proofErr w:type="gramEnd"/>
      <w:r>
        <w:rPr>
          <w:rFonts w:ascii="Helvetica" w:hAnsi="Helvetica"/>
          <w:color w:val="222222"/>
          <w:sz w:val="22"/>
          <w:szCs w:val="22"/>
        </w:rPr>
        <w:t>身份识别工作的有效性，现就加强反洗</w:t>
      </w:r>
      <w:proofErr w:type="gramStart"/>
      <w:r>
        <w:rPr>
          <w:rFonts w:ascii="Helvetica" w:hAnsi="Helvetica"/>
          <w:color w:val="222222"/>
          <w:sz w:val="22"/>
          <w:szCs w:val="22"/>
        </w:rPr>
        <w:t>钱客户</w:t>
      </w:r>
      <w:proofErr w:type="gramEnd"/>
      <w:r>
        <w:rPr>
          <w:rFonts w:ascii="Helvetica" w:hAnsi="Helvetica"/>
          <w:color w:val="222222"/>
          <w:sz w:val="22"/>
          <w:szCs w:val="22"/>
        </w:rPr>
        <w:t>身份识别有关工作通知如下：</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t>一、</w:t>
      </w:r>
      <w:r>
        <w:rPr>
          <w:rFonts w:ascii="Helvetica" w:hAnsi="Helvetica"/>
          <w:color w:val="222222"/>
          <w:sz w:val="22"/>
          <w:szCs w:val="22"/>
        </w:rPr>
        <w:t> </w:t>
      </w:r>
      <w:r>
        <w:rPr>
          <w:rFonts w:ascii="Helvetica" w:hAnsi="Helvetica"/>
          <w:color w:val="222222"/>
          <w:sz w:val="22"/>
          <w:szCs w:val="22"/>
        </w:rPr>
        <w:t>加强对非自然人客户的身份识别</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t>义务机构应当按照《金融机构客户身份识别和客户身份资料及交易记录保存管理办法》（中国人民银行</w:t>
      </w:r>
      <w:r>
        <w:rPr>
          <w:rFonts w:ascii="Helvetica" w:hAnsi="Helvetica"/>
          <w:color w:val="222222"/>
          <w:sz w:val="22"/>
          <w:szCs w:val="22"/>
        </w:rPr>
        <w:t> </w:t>
      </w:r>
      <w:r>
        <w:rPr>
          <w:rFonts w:ascii="Helvetica" w:hAnsi="Helvetica"/>
          <w:color w:val="222222"/>
          <w:sz w:val="22"/>
          <w:szCs w:val="22"/>
        </w:rPr>
        <w:t>中国银行监督管理委员会</w:t>
      </w:r>
      <w:r>
        <w:rPr>
          <w:rFonts w:ascii="Helvetica" w:hAnsi="Helvetica"/>
          <w:color w:val="222222"/>
          <w:sz w:val="22"/>
          <w:szCs w:val="22"/>
        </w:rPr>
        <w:t> </w:t>
      </w:r>
      <w:r>
        <w:rPr>
          <w:rFonts w:ascii="Helvetica" w:hAnsi="Helvetica"/>
          <w:color w:val="222222"/>
          <w:sz w:val="22"/>
          <w:szCs w:val="22"/>
        </w:rPr>
        <w:t>中国证券监督管理委员会中国保险监督管理委员会令【</w:t>
      </w:r>
      <w:r>
        <w:rPr>
          <w:rFonts w:ascii="Helvetica" w:hAnsi="Helvetica"/>
          <w:color w:val="222222"/>
          <w:sz w:val="22"/>
          <w:szCs w:val="22"/>
        </w:rPr>
        <w:t>2007</w:t>
      </w:r>
      <w:r>
        <w:rPr>
          <w:rFonts w:ascii="Helvetica" w:hAnsi="Helvetica"/>
          <w:color w:val="222222"/>
          <w:sz w:val="22"/>
          <w:szCs w:val="22"/>
        </w:rPr>
        <w:t>】第</w:t>
      </w:r>
      <w:r>
        <w:rPr>
          <w:rFonts w:ascii="Helvetica" w:hAnsi="Helvetica"/>
          <w:color w:val="222222"/>
          <w:sz w:val="22"/>
          <w:szCs w:val="22"/>
        </w:rPr>
        <w:t>2</w:t>
      </w:r>
      <w:r>
        <w:rPr>
          <w:rFonts w:ascii="Helvetica" w:hAnsi="Helvetica"/>
          <w:color w:val="222222"/>
          <w:sz w:val="22"/>
          <w:szCs w:val="22"/>
        </w:rPr>
        <w:t>号发布）的规定，有效开展非自然人客户的身份识别，提高受益所有人信息透明度，加强风险评估和分类管理，防范复杂股权或者控制权结构导致的洗钱和恐怖融资风险。</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t>（一）义务机构应当加强对非自然人客户的身份识别，在建立或者维持业务关系时，采取合理措施</w:t>
      </w:r>
      <w:proofErr w:type="gramStart"/>
      <w:r>
        <w:rPr>
          <w:rFonts w:ascii="Helvetica" w:hAnsi="Helvetica"/>
          <w:color w:val="222222"/>
          <w:sz w:val="22"/>
          <w:szCs w:val="22"/>
        </w:rPr>
        <w:t>了解非</w:t>
      </w:r>
      <w:proofErr w:type="gramEnd"/>
      <w:r>
        <w:rPr>
          <w:rFonts w:ascii="Helvetica" w:hAnsi="Helvetica"/>
          <w:color w:val="222222"/>
          <w:sz w:val="22"/>
          <w:szCs w:val="22"/>
        </w:rPr>
        <w:t>自然人客户的业务性质与股权或者控制权结构，了解相关的受益所有人信息。</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t>（二）义务机构应当根据实际情况以及从可靠途径、以可靠方式获取的相关信息或者数据，识别非自然人客户的受益所有人，并在业务关系存续期间，持续关注受益所有人信息变更情况。</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t>（三）对非自然人客户受益所有人的追溯，义务机构应当逐层深入并最终明确为掌握控制权或者获取收益的自然人，判定标准如下：</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t>1.</w:t>
      </w:r>
      <w:r>
        <w:rPr>
          <w:rFonts w:ascii="Helvetica" w:hAnsi="Helvetica"/>
          <w:color w:val="222222"/>
          <w:sz w:val="22"/>
          <w:szCs w:val="22"/>
        </w:rPr>
        <w:t>公司的受益所有人应当按照以下标准依次判定：直接或者间接拥有超过</w:t>
      </w:r>
      <w:r>
        <w:rPr>
          <w:rFonts w:ascii="Helvetica" w:hAnsi="Helvetica"/>
          <w:color w:val="222222"/>
          <w:sz w:val="22"/>
          <w:szCs w:val="22"/>
        </w:rPr>
        <w:t>25%</w:t>
      </w:r>
      <w:r>
        <w:rPr>
          <w:rFonts w:ascii="Helvetica" w:hAnsi="Helvetica"/>
          <w:color w:val="222222"/>
          <w:sz w:val="22"/>
          <w:szCs w:val="22"/>
        </w:rPr>
        <w:t>公司股权或者表决权的自然人；通过人事、财务等其他方式对公司进行控制的自然人；公司的高级管理人员。</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t>2.</w:t>
      </w:r>
      <w:r>
        <w:rPr>
          <w:rFonts w:ascii="Helvetica" w:hAnsi="Helvetica"/>
          <w:color w:val="222222"/>
          <w:sz w:val="22"/>
          <w:szCs w:val="22"/>
        </w:rPr>
        <w:t>合伙企业的受益所有人是指拥有超过</w:t>
      </w:r>
      <w:r>
        <w:rPr>
          <w:rFonts w:ascii="Helvetica" w:hAnsi="Helvetica"/>
          <w:color w:val="222222"/>
          <w:sz w:val="22"/>
          <w:szCs w:val="22"/>
        </w:rPr>
        <w:t>25%</w:t>
      </w:r>
      <w:r>
        <w:rPr>
          <w:rFonts w:ascii="Helvetica" w:hAnsi="Helvetica"/>
          <w:color w:val="222222"/>
          <w:sz w:val="22"/>
          <w:szCs w:val="22"/>
        </w:rPr>
        <w:t>合伙权益的自然人。</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t>3.</w:t>
      </w:r>
      <w:r>
        <w:rPr>
          <w:rFonts w:ascii="Helvetica" w:hAnsi="Helvetica"/>
          <w:color w:val="222222"/>
          <w:sz w:val="22"/>
          <w:szCs w:val="22"/>
        </w:rPr>
        <w:t>信托的受益所有人是指信托的委托人、受托人、受益人以及其他对信托实施最终有效控制的自然人。</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t>4.</w:t>
      </w:r>
      <w:r>
        <w:rPr>
          <w:rFonts w:ascii="Helvetica" w:hAnsi="Helvetica"/>
          <w:color w:val="222222"/>
          <w:sz w:val="22"/>
          <w:szCs w:val="22"/>
        </w:rPr>
        <w:t>基金的受益所有人是指拥有超过</w:t>
      </w:r>
      <w:r>
        <w:rPr>
          <w:rFonts w:ascii="Helvetica" w:hAnsi="Helvetica"/>
          <w:color w:val="222222"/>
          <w:sz w:val="22"/>
          <w:szCs w:val="22"/>
        </w:rPr>
        <w:t>25%</w:t>
      </w:r>
      <w:r>
        <w:rPr>
          <w:rFonts w:ascii="Helvetica" w:hAnsi="Helvetica"/>
          <w:color w:val="222222"/>
          <w:sz w:val="22"/>
          <w:szCs w:val="22"/>
        </w:rPr>
        <w:t>权益份额或者其他对基金进行控制的自然人。</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t>对风险较高的非自然人客户，义务机构应当采取更严格的标准判定其受益所有人。</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lastRenderedPageBreak/>
        <w:t>（四）义务机构应当核实受益所有人信息，并可以通过</w:t>
      </w:r>
      <w:proofErr w:type="gramStart"/>
      <w:r>
        <w:rPr>
          <w:rFonts w:ascii="Helvetica" w:hAnsi="Helvetica"/>
          <w:color w:val="222222"/>
          <w:sz w:val="22"/>
          <w:szCs w:val="22"/>
        </w:rPr>
        <w:t>询问非</w:t>
      </w:r>
      <w:proofErr w:type="gramEnd"/>
      <w:r>
        <w:rPr>
          <w:rFonts w:ascii="Helvetica" w:hAnsi="Helvetica"/>
          <w:color w:val="222222"/>
          <w:sz w:val="22"/>
          <w:szCs w:val="22"/>
        </w:rPr>
        <w:t>自然人客户，要求非自然人客户提供证明材料、查询公开信息、委托有关机构调查等方式进行。</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t>（五）义务机构应当登记客户受益所有人的姓名、地址、身份证或者身份证证明文件的种类、号码和有效期限。</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t>（六）义务机构在充分评估</w:t>
      </w:r>
      <w:proofErr w:type="gramStart"/>
      <w:r>
        <w:rPr>
          <w:rFonts w:ascii="Helvetica" w:hAnsi="Helvetica"/>
          <w:color w:val="222222"/>
          <w:sz w:val="22"/>
          <w:szCs w:val="22"/>
        </w:rPr>
        <w:t>下述非</w:t>
      </w:r>
      <w:proofErr w:type="gramEnd"/>
      <w:r>
        <w:rPr>
          <w:rFonts w:ascii="Helvetica" w:hAnsi="Helvetica"/>
          <w:color w:val="222222"/>
          <w:sz w:val="22"/>
          <w:szCs w:val="22"/>
        </w:rPr>
        <w:t>自然人客户风险状况基础上，可以将其法定代表人或者实际控制人视同为受益所有人：</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t>1.</w:t>
      </w:r>
      <w:r>
        <w:rPr>
          <w:rFonts w:ascii="Helvetica" w:hAnsi="Helvetica"/>
          <w:color w:val="222222"/>
          <w:sz w:val="22"/>
          <w:szCs w:val="22"/>
        </w:rPr>
        <w:t>个体工商户、个人独资企业、不具备法人资格的专业服务机构。</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t>2.</w:t>
      </w:r>
      <w:r>
        <w:rPr>
          <w:rFonts w:ascii="Helvetica" w:hAnsi="Helvetica"/>
          <w:color w:val="222222"/>
          <w:sz w:val="22"/>
          <w:szCs w:val="22"/>
        </w:rPr>
        <w:t>经营农林渔牧产业的非公司制农民专业合作组织。</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t>对于受政府控制的企事业单位，参照上述标准执行。</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t>（七）义务机构可以不识别</w:t>
      </w:r>
      <w:proofErr w:type="gramStart"/>
      <w:r>
        <w:rPr>
          <w:rFonts w:ascii="Helvetica" w:hAnsi="Helvetica"/>
          <w:color w:val="222222"/>
          <w:sz w:val="22"/>
          <w:szCs w:val="22"/>
        </w:rPr>
        <w:t>下述非</w:t>
      </w:r>
      <w:proofErr w:type="gramEnd"/>
      <w:r>
        <w:rPr>
          <w:rFonts w:ascii="Helvetica" w:hAnsi="Helvetica"/>
          <w:color w:val="222222"/>
          <w:sz w:val="22"/>
          <w:szCs w:val="22"/>
        </w:rPr>
        <w:t>自然人客户的受益所有人：</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t>1.</w:t>
      </w:r>
      <w:r>
        <w:rPr>
          <w:rFonts w:ascii="Helvetica" w:hAnsi="Helvetica"/>
          <w:color w:val="222222"/>
          <w:sz w:val="22"/>
          <w:szCs w:val="22"/>
        </w:rPr>
        <w:t>各级党的机关、国家权力机关、行政机关、司法机关、军事机关、人民政协机关和人民解放军、武警部队、参照公务员法管理的事业单位。</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t>2.</w:t>
      </w:r>
      <w:r>
        <w:rPr>
          <w:rFonts w:ascii="Helvetica" w:hAnsi="Helvetica"/>
          <w:color w:val="222222"/>
          <w:sz w:val="22"/>
          <w:szCs w:val="22"/>
        </w:rPr>
        <w:t>政府间国际组织、外国政府驻华使领馆及办事处等机构及组织。</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t>（八）义务机构应当在识别受益所有人的过程中，了解、收集并妥善保存以下信息和资料：</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t>1.</w:t>
      </w:r>
      <w:r>
        <w:rPr>
          <w:rFonts w:ascii="Helvetica" w:hAnsi="Helvetica"/>
          <w:color w:val="222222"/>
          <w:sz w:val="22"/>
          <w:szCs w:val="22"/>
        </w:rPr>
        <w:t>非自然人客户股权或者控制权的相关信息、主要包括：注册证书、存续证明文件、合伙协议、信托协议、备忘录、公司章程以及其他可以验证客户身份的文件。</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t>2.</w:t>
      </w:r>
      <w:r>
        <w:rPr>
          <w:rFonts w:ascii="Helvetica" w:hAnsi="Helvetica"/>
          <w:color w:val="222222"/>
          <w:sz w:val="22"/>
          <w:szCs w:val="22"/>
        </w:rPr>
        <w:t>非自然人客户股东或者董事会成员登记信息，主要包括：董事会、高级管理层和股东名单、各股东持股数量以及持股类型（包含相关的投票权类型）等。</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t>（九）银行业金融机构应当将登记保存的受益所有人信息报送中国人民银行征信中心运营管理的相关信息数据库。义务机构可以按照相关规定</w:t>
      </w:r>
      <w:proofErr w:type="gramStart"/>
      <w:r>
        <w:rPr>
          <w:rFonts w:ascii="Helvetica" w:hAnsi="Helvetica"/>
          <w:color w:val="222222"/>
          <w:sz w:val="22"/>
          <w:szCs w:val="22"/>
        </w:rPr>
        <w:t>查询非</w:t>
      </w:r>
      <w:proofErr w:type="gramEnd"/>
      <w:r>
        <w:rPr>
          <w:rFonts w:ascii="Helvetica" w:hAnsi="Helvetica"/>
          <w:color w:val="222222"/>
          <w:sz w:val="22"/>
          <w:szCs w:val="22"/>
        </w:rPr>
        <w:t>自然人客户的受益所有人信息。受益所有人信息登记、查询、使用及保密办法，由中国人民银行另行制定。</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t>二、加强对特定自然人客户的身份识别</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t>义务机构在与客户建立或者维持业务关系时，对下列特定自然人客户，应当按照《金融机构客户身份识别和客户身份资料及交易记录保存管理办法》的规定，有效开展身份识别。</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t>（一）对于外国政要，义务机构除采取正常的客户身份识别措施外，还应当采取以下强化的身份识别措施：</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t>1.</w:t>
      </w:r>
      <w:r>
        <w:rPr>
          <w:rFonts w:ascii="Helvetica" w:hAnsi="Helvetica"/>
          <w:color w:val="222222"/>
          <w:sz w:val="22"/>
          <w:szCs w:val="22"/>
        </w:rPr>
        <w:t>建立适当的风险管理系统，确定客户是否为外国政要。</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lastRenderedPageBreak/>
        <w:t>2.</w:t>
      </w:r>
      <w:r>
        <w:rPr>
          <w:rFonts w:ascii="Helvetica" w:hAnsi="Helvetica"/>
          <w:color w:val="222222"/>
          <w:sz w:val="22"/>
          <w:szCs w:val="22"/>
        </w:rPr>
        <w:t>建立（或者维持现有）业务关系前，获得高级管理层的批准或者授权。</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t>3.</w:t>
      </w:r>
      <w:r>
        <w:rPr>
          <w:rFonts w:ascii="Helvetica" w:hAnsi="Helvetica"/>
          <w:color w:val="222222"/>
          <w:sz w:val="22"/>
          <w:szCs w:val="22"/>
        </w:rPr>
        <w:t>进一步深入了解客户财产和资金来源。</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t>4.</w:t>
      </w:r>
      <w:r>
        <w:rPr>
          <w:rFonts w:ascii="Helvetica" w:hAnsi="Helvetica"/>
          <w:color w:val="222222"/>
          <w:sz w:val="22"/>
          <w:szCs w:val="22"/>
        </w:rPr>
        <w:t>在业务关系持续期间提高交易监测的频率和强度。</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t>（二）对于国际组织的高级管理人员，义务机构为其提供服务或者办理业务出现较高风险时，应当采取本条第一项第</w:t>
      </w:r>
      <w:r>
        <w:rPr>
          <w:rFonts w:ascii="Helvetica" w:hAnsi="Helvetica"/>
          <w:color w:val="222222"/>
          <w:sz w:val="22"/>
          <w:szCs w:val="22"/>
        </w:rPr>
        <w:t>2</w:t>
      </w:r>
      <w:r>
        <w:rPr>
          <w:rFonts w:ascii="Helvetica" w:hAnsi="Helvetica"/>
          <w:color w:val="222222"/>
          <w:sz w:val="22"/>
          <w:szCs w:val="22"/>
        </w:rPr>
        <w:t>目至第</w:t>
      </w:r>
      <w:r>
        <w:rPr>
          <w:rFonts w:ascii="Helvetica" w:hAnsi="Helvetica"/>
          <w:color w:val="222222"/>
          <w:sz w:val="22"/>
          <w:szCs w:val="22"/>
        </w:rPr>
        <w:t>4</w:t>
      </w:r>
      <w:r>
        <w:rPr>
          <w:rFonts w:ascii="Helvetica" w:hAnsi="Helvetica"/>
          <w:color w:val="222222"/>
          <w:sz w:val="22"/>
          <w:szCs w:val="22"/>
        </w:rPr>
        <w:t>目所列强化的客户身份识别措施。</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t>（三）上述特点自然人客户身份识别的要求，同样适用于其特定关系人。</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t>（四）如果非自然人客户的受益所有人为上述特定自然人客户，义务机构应当对该非自然人客户采取相应的强化身份识别措施。</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t>三、加强特定业务关系中客户的身份识别措施</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t>义务机构应当根据产品、业务的风险评估结果，结合业务关系特点开展客户身份识别，将客户身份识别工作作为有效防范洗钱和恐怖融资风险的基础。</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t>（一）对于寿险和具有投资功能的财产险业务，义务机构应当充分考虑保单受益人的风险状况，决定是否对受益人开展强化的身份识别措施。受益人为非自然人客户，义务机构认为其股权或者控制权较复杂且有较高风险的，应当在偿付相关资金前，采取合理措施了解保单受益人的股权和控制权结构，并按照风险为本原则，强化对受益人的客户身份识别。</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t>如保单受益人或者其受益所有人为第二条所列的特定自然人，</w:t>
      </w:r>
      <w:proofErr w:type="gramStart"/>
      <w:r>
        <w:rPr>
          <w:rFonts w:ascii="Helvetica" w:hAnsi="Helvetica"/>
          <w:color w:val="222222"/>
          <w:sz w:val="22"/>
          <w:szCs w:val="22"/>
        </w:rPr>
        <w:t>且义务</w:t>
      </w:r>
      <w:proofErr w:type="gramEnd"/>
      <w:r>
        <w:rPr>
          <w:rFonts w:ascii="Helvetica" w:hAnsi="Helvetica"/>
          <w:color w:val="222222"/>
          <w:sz w:val="22"/>
          <w:szCs w:val="22"/>
        </w:rPr>
        <w:t>机构认定其属于高风险等级的，义务机构应当在偿付相关资金前获得高级管理层批准，并对整个保险业务关系进行强化审查，如果义务机构无法完成上述措施，则应当在合理怀疑基础上提交可疑交易报告。</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t>（二）义务机构采取有效措施仍无法进行客户身份识别的，或者经过评估超过本机构风险管理能力的，不得与客户建立业务关系或者进行交易；已建立业务关系的，应当中止交易并考虑提交可疑交易报告，必要时可终止业务关系。</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t>义务机构怀疑交易与洗钱或者恐怖融资有关，但重新或者持续识别客户身份将无法避免泄密时，可疑终止身份识别措施，并提交可疑交易报告。</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t>（三）对来自金融行动特别工作组（</w:t>
      </w:r>
      <w:r>
        <w:rPr>
          <w:rFonts w:ascii="Helvetica" w:hAnsi="Helvetica"/>
          <w:color w:val="222222"/>
          <w:sz w:val="22"/>
          <w:szCs w:val="22"/>
        </w:rPr>
        <w:t>FATF</w:t>
      </w:r>
      <w:r>
        <w:rPr>
          <w:rFonts w:ascii="Helvetica" w:hAnsi="Helvetica"/>
          <w:color w:val="222222"/>
          <w:sz w:val="22"/>
          <w:szCs w:val="22"/>
        </w:rPr>
        <w:t>）、亚太反洗钱组织（</w:t>
      </w:r>
      <w:r>
        <w:rPr>
          <w:rFonts w:ascii="Helvetica" w:hAnsi="Helvetica"/>
          <w:color w:val="222222"/>
          <w:sz w:val="22"/>
          <w:szCs w:val="22"/>
        </w:rPr>
        <w:t>APG</w:t>
      </w:r>
      <w:r>
        <w:rPr>
          <w:rFonts w:ascii="Helvetica" w:hAnsi="Helvetica"/>
          <w:color w:val="222222"/>
          <w:sz w:val="22"/>
          <w:szCs w:val="22"/>
        </w:rPr>
        <w:t>）、欧亚反洗钱和反恐怖融资组织（</w:t>
      </w:r>
      <w:r>
        <w:rPr>
          <w:rFonts w:ascii="Helvetica" w:hAnsi="Helvetica"/>
          <w:color w:val="222222"/>
          <w:sz w:val="22"/>
          <w:szCs w:val="22"/>
        </w:rPr>
        <w:t>EAG</w:t>
      </w:r>
      <w:r>
        <w:rPr>
          <w:rFonts w:ascii="Helvetica" w:hAnsi="Helvetica"/>
          <w:color w:val="222222"/>
          <w:sz w:val="22"/>
          <w:szCs w:val="22"/>
        </w:rPr>
        <w:t>）等国际反洗钱组织指定高风险国家或者地区的客户，义务机构应当根据其风险状况，采取相应的强化身份识别措施。</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t>（四）义务机构委托境外第三方机构开展客户身份识别的，应当充分评估该机构所在国家或者地区的风险状况，并将其作为对客户身份识别、风险评估和分类管理的基础。</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lastRenderedPageBreak/>
        <w:t>当义务机构与委托的境外第三方机构属于同一金融集团，</w:t>
      </w:r>
      <w:proofErr w:type="gramStart"/>
      <w:r>
        <w:rPr>
          <w:rFonts w:ascii="Helvetica" w:hAnsi="Helvetica"/>
          <w:color w:val="222222"/>
          <w:sz w:val="22"/>
          <w:szCs w:val="22"/>
        </w:rPr>
        <w:t>且集团</w:t>
      </w:r>
      <w:proofErr w:type="gramEnd"/>
      <w:r>
        <w:rPr>
          <w:rFonts w:ascii="Helvetica" w:hAnsi="Helvetica"/>
          <w:color w:val="222222"/>
          <w:sz w:val="22"/>
          <w:szCs w:val="22"/>
        </w:rPr>
        <w:t>层面采取的客户身份识别等反洗</w:t>
      </w:r>
      <w:proofErr w:type="gramStart"/>
      <w:r>
        <w:rPr>
          <w:rFonts w:ascii="Helvetica" w:hAnsi="Helvetica"/>
          <w:color w:val="222222"/>
          <w:sz w:val="22"/>
          <w:szCs w:val="22"/>
        </w:rPr>
        <w:t>钱内部</w:t>
      </w:r>
      <w:proofErr w:type="gramEnd"/>
      <w:r>
        <w:rPr>
          <w:rFonts w:ascii="Helvetica" w:hAnsi="Helvetica"/>
          <w:color w:val="222222"/>
          <w:sz w:val="22"/>
          <w:szCs w:val="22"/>
        </w:rPr>
        <w:t>控制措施能有效降低境外国家或者地区的风险水平，</w:t>
      </w:r>
      <w:proofErr w:type="gramStart"/>
      <w:r>
        <w:rPr>
          <w:rFonts w:ascii="Helvetica" w:hAnsi="Helvetica"/>
          <w:color w:val="222222"/>
          <w:sz w:val="22"/>
          <w:szCs w:val="22"/>
        </w:rPr>
        <w:t>则义务</w:t>
      </w:r>
      <w:proofErr w:type="gramEnd"/>
      <w:r>
        <w:rPr>
          <w:rFonts w:ascii="Helvetica" w:hAnsi="Helvetica"/>
          <w:color w:val="222222"/>
          <w:sz w:val="22"/>
          <w:szCs w:val="22"/>
        </w:rPr>
        <w:t>机构可以不将境外的风险状况纳入对客户身份识别、风险评估和分类管理的范畴。</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t>（五）出于反洗钱和反恐怖融资需要，集团（公司）应当建立内部信息共享制度和程序，明确信息安全和保密要求。集团（公司）合</w:t>
      </w:r>
      <w:proofErr w:type="gramStart"/>
      <w:r>
        <w:rPr>
          <w:rFonts w:ascii="Helvetica" w:hAnsi="Helvetica"/>
          <w:color w:val="222222"/>
          <w:sz w:val="22"/>
          <w:szCs w:val="22"/>
        </w:rPr>
        <w:t>规</w:t>
      </w:r>
      <w:proofErr w:type="gramEnd"/>
      <w:r>
        <w:rPr>
          <w:rFonts w:ascii="Helvetica" w:hAnsi="Helvetica"/>
          <w:color w:val="222222"/>
          <w:sz w:val="22"/>
          <w:szCs w:val="22"/>
        </w:rPr>
        <w:t>、审计和反洗</w:t>
      </w:r>
      <w:proofErr w:type="gramStart"/>
      <w:r>
        <w:rPr>
          <w:rFonts w:ascii="Helvetica" w:hAnsi="Helvetica"/>
          <w:color w:val="222222"/>
          <w:sz w:val="22"/>
          <w:szCs w:val="22"/>
        </w:rPr>
        <w:t>钱部门</w:t>
      </w:r>
      <w:proofErr w:type="gramEnd"/>
      <w:r>
        <w:rPr>
          <w:rFonts w:ascii="Helvetica" w:hAnsi="Helvetica"/>
          <w:color w:val="222222"/>
          <w:sz w:val="22"/>
          <w:szCs w:val="22"/>
        </w:rPr>
        <w:t>可以依法要求分支机构和附属机构提供客户、账户、交易信息及其他相关信息。</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t>（六）银行业金融机构应当遵守《金融机构客户身份识别和客户身份资料及交易记录保存管理办法》等规章制度，同时参照金融行动特别工作组、沃尔夫斯堡集团关于代理行业务的相关要求，严格履行带来行业务的身份识别义务。</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t>四、其他事项</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t>（一）义务机构应当进一步完善客户身份识别的内部控制制度和操作规范，并按照《金融机构客户身份识别和客户身份资料及交易记录保存管理办法》的规定保存上述身份识别工作记录和获取的身份资料，切实履行个人金融信息保护义务。</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t>（二）义务机构应当向客户充分说明本机构需履行的身份识别义务，不得明示、暗示或者帮助客户隐匿身份信息。</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t>（三）义务机构应当按照本通知要求，对新建立业务关系客户有效开展客户身份识别。同时，有序对存量客户组织排查，于</w:t>
      </w:r>
      <w:r>
        <w:rPr>
          <w:rFonts w:ascii="Helvetica" w:hAnsi="Helvetica"/>
          <w:color w:val="222222"/>
          <w:sz w:val="22"/>
          <w:szCs w:val="22"/>
        </w:rPr>
        <w:t>2018</w:t>
      </w:r>
      <w:r>
        <w:rPr>
          <w:rFonts w:ascii="Helvetica" w:hAnsi="Helvetica"/>
          <w:color w:val="222222"/>
          <w:sz w:val="22"/>
          <w:szCs w:val="22"/>
        </w:rPr>
        <w:t>年</w:t>
      </w:r>
      <w:r>
        <w:rPr>
          <w:rFonts w:ascii="Helvetica" w:hAnsi="Helvetica"/>
          <w:color w:val="222222"/>
          <w:sz w:val="22"/>
          <w:szCs w:val="22"/>
        </w:rPr>
        <w:t>6</w:t>
      </w:r>
      <w:r>
        <w:rPr>
          <w:rFonts w:ascii="Helvetica" w:hAnsi="Helvetica"/>
          <w:color w:val="222222"/>
          <w:sz w:val="22"/>
          <w:szCs w:val="22"/>
        </w:rPr>
        <w:t>月</w:t>
      </w:r>
      <w:r>
        <w:rPr>
          <w:rFonts w:ascii="Helvetica" w:hAnsi="Helvetica"/>
          <w:color w:val="222222"/>
          <w:sz w:val="22"/>
          <w:szCs w:val="22"/>
        </w:rPr>
        <w:t>30</w:t>
      </w:r>
      <w:r>
        <w:rPr>
          <w:rFonts w:ascii="Helvetica" w:hAnsi="Helvetica"/>
          <w:color w:val="222222"/>
          <w:sz w:val="22"/>
          <w:szCs w:val="22"/>
        </w:rPr>
        <w:t>日前完成存量客户的身份识别工作。</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t>（四）本通知所称外国政要、国际组织的高级管理人员，参照《打击洗钱、恐怖融资与扩散融资的国际标准：</w:t>
      </w:r>
      <w:r>
        <w:rPr>
          <w:rFonts w:ascii="Helvetica" w:hAnsi="Helvetica"/>
          <w:color w:val="222222"/>
          <w:sz w:val="22"/>
          <w:szCs w:val="22"/>
        </w:rPr>
        <w:t>FATF</w:t>
      </w:r>
      <w:r>
        <w:rPr>
          <w:rFonts w:ascii="Helvetica" w:hAnsi="Helvetica"/>
          <w:color w:val="222222"/>
          <w:sz w:val="22"/>
          <w:szCs w:val="22"/>
        </w:rPr>
        <w:t>建议》及有关国际标准确定。</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t>本通知自发布之日起实施。有关法律、行政法规、规章另有规定的从其规定。</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t>                                                     </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t>                                               </w:t>
      </w:r>
      <w:r>
        <w:rPr>
          <w:rFonts w:ascii="Helvetica" w:hAnsi="Helvetica"/>
          <w:color w:val="222222"/>
          <w:sz w:val="22"/>
          <w:szCs w:val="22"/>
        </w:rPr>
        <w:t>中国人民银行</w:t>
      </w:r>
    </w:p>
    <w:p w:rsidR="00CA5977" w:rsidRDefault="00CA5977" w:rsidP="00CA5977">
      <w:pPr>
        <w:pStyle w:val="a5"/>
        <w:wordWrap w:val="0"/>
        <w:spacing w:before="0" w:beforeAutospacing="0" w:after="240" w:afterAutospacing="0" w:line="348" w:lineRule="atLeast"/>
        <w:ind w:firstLine="480"/>
        <w:textAlignment w:val="baseline"/>
        <w:rPr>
          <w:rFonts w:ascii="Helvetica" w:hAnsi="Helvetica"/>
          <w:color w:val="222222"/>
          <w:sz w:val="22"/>
          <w:szCs w:val="22"/>
        </w:rPr>
      </w:pPr>
      <w:r>
        <w:rPr>
          <w:rFonts w:ascii="Helvetica" w:hAnsi="Helvetica"/>
          <w:color w:val="222222"/>
          <w:sz w:val="22"/>
          <w:szCs w:val="22"/>
        </w:rPr>
        <w:t>                                              2017</w:t>
      </w:r>
      <w:r>
        <w:rPr>
          <w:rFonts w:ascii="Helvetica" w:hAnsi="Helvetica"/>
          <w:color w:val="222222"/>
          <w:sz w:val="22"/>
          <w:szCs w:val="22"/>
        </w:rPr>
        <w:t>年</w:t>
      </w:r>
      <w:r>
        <w:rPr>
          <w:rFonts w:ascii="Helvetica" w:hAnsi="Helvetica"/>
          <w:color w:val="222222"/>
          <w:sz w:val="22"/>
          <w:szCs w:val="22"/>
        </w:rPr>
        <w:t>10</w:t>
      </w:r>
      <w:r>
        <w:rPr>
          <w:rFonts w:ascii="Helvetica" w:hAnsi="Helvetica"/>
          <w:color w:val="222222"/>
          <w:sz w:val="22"/>
          <w:szCs w:val="22"/>
        </w:rPr>
        <w:t>月</w:t>
      </w:r>
      <w:r>
        <w:rPr>
          <w:rFonts w:ascii="Helvetica" w:hAnsi="Helvetica"/>
          <w:color w:val="222222"/>
          <w:sz w:val="22"/>
          <w:szCs w:val="22"/>
        </w:rPr>
        <w:t>20</w:t>
      </w:r>
      <w:r>
        <w:rPr>
          <w:rFonts w:ascii="Helvetica" w:hAnsi="Helvetica"/>
          <w:color w:val="222222"/>
          <w:sz w:val="22"/>
          <w:szCs w:val="22"/>
        </w:rPr>
        <w:t>日</w:t>
      </w:r>
    </w:p>
    <w:p w:rsidR="00201778" w:rsidRDefault="00201778"/>
    <w:sectPr w:rsidR="00201778" w:rsidSect="000A0E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4EB" w:rsidRDefault="007154EB" w:rsidP="00CA5977">
      <w:r>
        <w:separator/>
      </w:r>
    </w:p>
  </w:endnote>
  <w:endnote w:type="continuationSeparator" w:id="0">
    <w:p w:rsidR="007154EB" w:rsidRDefault="007154EB" w:rsidP="00CA59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inheri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4EB" w:rsidRDefault="007154EB" w:rsidP="00CA5977">
      <w:r>
        <w:separator/>
      </w:r>
    </w:p>
  </w:footnote>
  <w:footnote w:type="continuationSeparator" w:id="0">
    <w:p w:rsidR="007154EB" w:rsidRDefault="007154EB" w:rsidP="00CA59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5977"/>
    <w:rsid w:val="000A0E93"/>
    <w:rsid w:val="00201778"/>
    <w:rsid w:val="006140F2"/>
    <w:rsid w:val="007154EB"/>
    <w:rsid w:val="00CA5977"/>
    <w:rsid w:val="00F811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E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59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A5977"/>
    <w:rPr>
      <w:sz w:val="18"/>
      <w:szCs w:val="18"/>
    </w:rPr>
  </w:style>
  <w:style w:type="paragraph" w:styleId="a4">
    <w:name w:val="footer"/>
    <w:basedOn w:val="a"/>
    <w:link w:val="Char0"/>
    <w:uiPriority w:val="99"/>
    <w:semiHidden/>
    <w:unhideWhenUsed/>
    <w:rsid w:val="00CA59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A5977"/>
    <w:rPr>
      <w:sz w:val="18"/>
      <w:szCs w:val="18"/>
    </w:rPr>
  </w:style>
  <w:style w:type="paragraph" w:styleId="a5">
    <w:name w:val="Normal (Web)"/>
    <w:basedOn w:val="a"/>
    <w:uiPriority w:val="99"/>
    <w:semiHidden/>
    <w:unhideWhenUsed/>
    <w:rsid w:val="00CA597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A5977"/>
    <w:rPr>
      <w:b/>
      <w:bCs/>
    </w:rPr>
  </w:style>
</w:styles>
</file>

<file path=word/webSettings.xml><?xml version="1.0" encoding="utf-8"?>
<w:webSettings xmlns:r="http://schemas.openxmlformats.org/officeDocument/2006/relationships" xmlns:w="http://schemas.openxmlformats.org/wordprocessingml/2006/main">
  <w:divs>
    <w:div w:id="189939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522</Words>
  <Characters>2980</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赵瑞平</dc:creator>
  <cp:keywords/>
  <dc:description/>
  <cp:lastModifiedBy>赵瑞平</cp:lastModifiedBy>
  <cp:revision>2</cp:revision>
  <dcterms:created xsi:type="dcterms:W3CDTF">2018-05-22T08:19:00Z</dcterms:created>
  <dcterms:modified xsi:type="dcterms:W3CDTF">2018-05-22T08:19:00Z</dcterms:modified>
</cp:coreProperties>
</file>