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10" w:rsidRPr="00F65210" w:rsidRDefault="00F65210" w:rsidP="00F65210">
      <w:pPr>
        <w:widowControl/>
        <w:jc w:val="left"/>
        <w:rPr>
          <w:rFonts w:ascii="宋体" w:eastAsia="宋体" w:hAnsi="宋体" w:cs="宋体"/>
          <w:kern w:val="0"/>
          <w:sz w:val="24"/>
          <w:szCs w:val="24"/>
        </w:rPr>
      </w:pPr>
    </w:p>
    <w:tbl>
      <w:tblPr>
        <w:tblW w:w="13950" w:type="dxa"/>
        <w:tblCellSpacing w:w="0" w:type="dxa"/>
        <w:shd w:val="clear" w:color="auto" w:fill="FFFFFF"/>
        <w:tblCellMar>
          <w:left w:w="0" w:type="dxa"/>
          <w:right w:w="0" w:type="dxa"/>
        </w:tblCellMar>
        <w:tblLook w:val="04A0" w:firstRow="1" w:lastRow="0" w:firstColumn="1" w:lastColumn="0" w:noHBand="0" w:noVBand="1"/>
      </w:tblPr>
      <w:tblGrid>
        <w:gridCol w:w="13950"/>
      </w:tblGrid>
      <w:tr w:rsidR="00F65210" w:rsidRPr="00F65210" w:rsidTr="00F65210">
        <w:trPr>
          <w:tblCellSpacing w:w="0" w:type="dxa"/>
        </w:trPr>
        <w:tc>
          <w:tcPr>
            <w:tcW w:w="10125" w:type="dxa"/>
            <w:shd w:val="clear" w:color="auto" w:fill="FFFFFF"/>
            <w:hideMark/>
          </w:tcPr>
          <w:tbl>
            <w:tblPr>
              <w:tblW w:w="10110" w:type="dxa"/>
              <w:tblCellSpacing w:w="0" w:type="dxa"/>
              <w:tblBorders>
                <w:right w:val="single" w:sz="6" w:space="0" w:color="CACACA"/>
              </w:tblBorders>
              <w:tblCellMar>
                <w:left w:w="0" w:type="dxa"/>
                <w:right w:w="0" w:type="dxa"/>
              </w:tblCellMar>
              <w:tblLook w:val="04A0" w:firstRow="1" w:lastRow="0" w:firstColumn="1" w:lastColumn="0" w:noHBand="0" w:noVBand="1"/>
            </w:tblPr>
            <w:tblGrid>
              <w:gridCol w:w="10110"/>
            </w:tblGrid>
            <w:tr w:rsidR="00F65210" w:rsidRPr="00F65210">
              <w:trPr>
                <w:tblCellSpacing w:w="0" w:type="dxa"/>
              </w:trPr>
              <w:tc>
                <w:tcPr>
                  <w:tcW w:w="0" w:type="auto"/>
                  <w:vAlign w:val="center"/>
                  <w:hideMark/>
                </w:tcPr>
                <w:p w:rsidR="00F65210" w:rsidRPr="00F65210" w:rsidRDefault="00F65210" w:rsidP="00F65210">
                  <w:pPr>
                    <w:widowControl/>
                    <w:jc w:val="left"/>
                    <w:rPr>
                      <w:rFonts w:ascii="宋体" w:eastAsia="宋体" w:hAnsi="宋体" w:cs="宋体"/>
                      <w:kern w:val="0"/>
                      <w:sz w:val="24"/>
                      <w:szCs w:val="24"/>
                    </w:rPr>
                  </w:pPr>
                </w:p>
                <w:tbl>
                  <w:tblPr>
                    <w:tblW w:w="8222" w:type="dxa"/>
                    <w:tblCellSpacing w:w="0" w:type="dxa"/>
                    <w:tblCellMar>
                      <w:left w:w="0" w:type="dxa"/>
                      <w:right w:w="0" w:type="dxa"/>
                    </w:tblCellMar>
                    <w:tblLook w:val="04A0" w:firstRow="1" w:lastRow="0" w:firstColumn="1" w:lastColumn="0" w:noHBand="0" w:noVBand="1"/>
                  </w:tblPr>
                  <w:tblGrid>
                    <w:gridCol w:w="8222"/>
                  </w:tblGrid>
                  <w:tr w:rsidR="00F65210" w:rsidRPr="00F65210" w:rsidTr="00BF6012">
                    <w:trPr>
                      <w:tblCellSpacing w:w="0" w:type="dxa"/>
                    </w:trPr>
                    <w:tc>
                      <w:tcPr>
                        <w:tcW w:w="8222" w:type="dxa"/>
                        <w:vAlign w:val="center"/>
                        <w:hideMark/>
                      </w:tcPr>
                      <w:p w:rsidR="00F65210" w:rsidRPr="00F65210" w:rsidRDefault="00F65210" w:rsidP="00F65210">
                        <w:pPr>
                          <w:widowControl/>
                          <w:spacing w:line="432" w:lineRule="atLeast"/>
                          <w:jc w:val="center"/>
                          <w:rPr>
                            <w:rFonts w:ascii="宋体" w:eastAsia="宋体" w:hAnsi="宋体" w:cs="宋体"/>
                            <w:kern w:val="0"/>
                            <w:sz w:val="24"/>
                            <w:szCs w:val="24"/>
                          </w:rPr>
                        </w:pPr>
                        <w:r w:rsidRPr="00F65210">
                          <w:rPr>
                            <w:rFonts w:ascii="宋体" w:eastAsia="宋体" w:hAnsi="宋体" w:cs="宋体"/>
                            <w:b/>
                            <w:bCs/>
                            <w:kern w:val="0"/>
                            <w:sz w:val="36"/>
                            <w:szCs w:val="36"/>
                          </w:rPr>
                          <w:t>国务院办公厅关于完善反洗钱、反恐怖融资、</w:t>
                        </w:r>
                      </w:p>
                      <w:p w:rsidR="00F65210" w:rsidRPr="00F65210" w:rsidRDefault="00F65210" w:rsidP="00F65210">
                        <w:pPr>
                          <w:widowControl/>
                          <w:spacing w:line="432" w:lineRule="atLeast"/>
                          <w:jc w:val="center"/>
                          <w:rPr>
                            <w:rFonts w:ascii="宋体" w:eastAsia="宋体" w:hAnsi="宋体" w:cs="宋体"/>
                            <w:kern w:val="0"/>
                            <w:sz w:val="24"/>
                            <w:szCs w:val="24"/>
                          </w:rPr>
                        </w:pPr>
                        <w:r w:rsidRPr="00F65210">
                          <w:rPr>
                            <w:rFonts w:ascii="宋体" w:eastAsia="宋体" w:hAnsi="宋体" w:cs="宋体"/>
                            <w:b/>
                            <w:bCs/>
                            <w:kern w:val="0"/>
                            <w:sz w:val="36"/>
                            <w:szCs w:val="36"/>
                          </w:rPr>
                          <w:t>反逃税监管体制机制的意见</w:t>
                        </w:r>
                        <w:r w:rsidRPr="00F65210">
                          <w:rPr>
                            <w:rFonts w:ascii="宋体" w:eastAsia="宋体" w:hAnsi="宋体" w:cs="宋体"/>
                            <w:kern w:val="0"/>
                            <w:sz w:val="24"/>
                            <w:szCs w:val="24"/>
                          </w:rPr>
                          <w:br/>
                        </w:r>
                        <w:r w:rsidRPr="00F65210">
                          <w:rPr>
                            <w:rFonts w:ascii="楷体" w:eastAsia="楷体" w:hAnsi="楷体" w:cs="宋体" w:hint="eastAsia"/>
                            <w:kern w:val="0"/>
                            <w:sz w:val="24"/>
                            <w:szCs w:val="24"/>
                          </w:rPr>
                          <w:t>国办函〔2017〕84号</w:t>
                        </w:r>
                      </w:p>
                      <w:p w:rsidR="00F65210" w:rsidRPr="00F65210" w:rsidRDefault="00F65210" w:rsidP="00F65210">
                        <w:pPr>
                          <w:widowControl/>
                          <w:spacing w:line="432" w:lineRule="atLeast"/>
                          <w:rPr>
                            <w:rFonts w:ascii="宋体" w:eastAsia="宋体" w:hAnsi="宋体" w:cs="宋体"/>
                            <w:kern w:val="0"/>
                            <w:sz w:val="24"/>
                            <w:szCs w:val="24"/>
                          </w:rPr>
                        </w:pPr>
                      </w:p>
                      <w:p w:rsidR="00F65210" w:rsidRPr="00F65210" w:rsidRDefault="00F65210" w:rsidP="00F65210">
                        <w:pPr>
                          <w:widowControl/>
                          <w:spacing w:line="432" w:lineRule="atLeast"/>
                          <w:rPr>
                            <w:rFonts w:ascii="宋体" w:eastAsia="宋体" w:hAnsi="宋体" w:cs="宋体"/>
                            <w:kern w:val="0"/>
                            <w:sz w:val="24"/>
                            <w:szCs w:val="24"/>
                          </w:rPr>
                        </w:pPr>
                        <w:r w:rsidRPr="00F65210">
                          <w:rPr>
                            <w:rFonts w:ascii="宋体" w:eastAsia="宋体" w:hAnsi="宋体" w:cs="宋体"/>
                            <w:kern w:val="0"/>
                            <w:sz w:val="24"/>
                            <w:szCs w:val="24"/>
                          </w:rPr>
                          <w:t>反洗钱工作部际联席会议各成员单位：</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kern w:val="0"/>
                            <w:sz w:val="24"/>
                            <w:szCs w:val="24"/>
                          </w:rPr>
                          <w:t>反洗钱、反恐怖融资、反逃税（以下统称“三反”）监管体制机制是建设中国特色社会主义法治体系和现代金融监管体系的重要内容，是推进国家治理体系和治理能力现代化、维护经济社会安全稳定的重要保障，是参与全球治理、扩大金融业双向开放的重要手段。反洗钱法公布实施以来，我国“三反”监管体制机制建设取得重大进展，工作成效明显，与国际通行标准基</w:t>
                        </w:r>
                        <w:bookmarkStart w:id="0" w:name="_GoBack"/>
                        <w:bookmarkEnd w:id="0"/>
                        <w:r w:rsidRPr="00F65210">
                          <w:rPr>
                            <w:rFonts w:ascii="宋体" w:eastAsia="宋体" w:hAnsi="宋体" w:cs="宋体"/>
                            <w:kern w:val="0"/>
                            <w:sz w:val="24"/>
                            <w:szCs w:val="24"/>
                          </w:rPr>
                          <w:t>本保持一致。同时也要看到，相关领域仍然存在一些突出矛盾和问题，主要是监管制度尚不健全、协调合作机制仍不顺畅、跨部门数据信息共享程度不高、履行反洗钱义务的机构（以下简称反洗钱义务机构）履职能力不足、国际参与度和话语权与我国国际地位不相称等。为深入持久推进“三反”监管体制机制建设，完善“三反”监管措施，经国务院同意，现提出如下意见。</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一、总体要求</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（一）指导思想。</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kern w:val="0"/>
                            <w:sz w:val="24"/>
                            <w:szCs w:val="24"/>
                          </w:rPr>
                          <w:t>全面贯彻党的十八大和十八届三中、四中、五中、六中全会精神，以邓小平理论、“三个代表”重要思想、科学发展观为指导，深入贯彻习近平总书记系列重要讲话精神和治国理政新理念新思想新战略，认真落实党中央、国务院决策部署，坚持总体国家安全观，遵循推进国家治理体系和治理能力现代化的要求，完善“三反”监管体制机制。</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（二）基本原则。</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坚持问题导向，发挥工作合力。</w:t>
                        </w:r>
                        <w:r w:rsidRPr="00F65210">
                          <w:rPr>
                            <w:rFonts w:ascii="宋体" w:eastAsia="宋体" w:hAnsi="宋体" w:cs="宋体"/>
                            <w:kern w:val="0"/>
                            <w:sz w:val="24"/>
                            <w:szCs w:val="24"/>
                          </w:rPr>
                          <w:t>进一步解放思想，从基本国情和实际工作需要出发，深入研究、有效解决“三反”监管体制机制存在的问题。反洗钱行政主管部门、税务机关、公安机关要切实履职，国务院银行业、证券、保险监督管理机构及其他相关单位要发挥工作积极性，形成“三反”合力。探索建立以金融情报为纽带、以资金监测为手段、以数据信息共享为基础、符合国家治理需要的“三反”监管体制机制。</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lastRenderedPageBreak/>
                          <w:t>坚持防控为本，有效化解风险。</w:t>
                        </w:r>
                        <w:r w:rsidRPr="00F65210">
                          <w:rPr>
                            <w:rFonts w:ascii="宋体" w:eastAsia="宋体" w:hAnsi="宋体" w:cs="宋体"/>
                            <w:kern w:val="0"/>
                            <w:sz w:val="24"/>
                            <w:szCs w:val="24"/>
                          </w:rPr>
                          <w:t>开展全面科学的风险评估，根据风险水平和分布进一步优化监管资源配置，强化高风险领域监管。同时，不断优化风险评估机制和监测分析系统，健全风险预防体系，有效防控洗钱、恐怖融资和逃税风险。</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坚持立足国情，为双向开放提供服务保障。</w:t>
                        </w:r>
                        <w:r w:rsidRPr="00F65210">
                          <w:rPr>
                            <w:rFonts w:ascii="宋体" w:eastAsia="宋体" w:hAnsi="宋体" w:cs="宋体"/>
                            <w:kern w:val="0"/>
                            <w:sz w:val="24"/>
                            <w:szCs w:val="24"/>
                          </w:rPr>
                          <w:t>根据国内洗钱、恐怖融资和逃税风险实际情况，逐步建立健全“三反”法律制度和监管规则。根据有关国际条约或者按照平等互利原则开展国际合作。忠实履行我国应当承担的国际义务，严格执行国际标准，加强跨境监管合作，切实维护我国金融机构合法权益，为金融业双向开放保驾护航。</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坚持依法行政，充分发挥反洗钱义务机构主体作用。</w:t>
                        </w:r>
                        <w:r w:rsidRPr="00F65210">
                          <w:rPr>
                            <w:rFonts w:ascii="宋体" w:eastAsia="宋体" w:hAnsi="宋体" w:cs="宋体"/>
                            <w:kern w:val="0"/>
                            <w:sz w:val="24"/>
                            <w:szCs w:val="24"/>
                          </w:rPr>
                          <w:t>依法确定相关单位职责，确保各司其职，主动作为，严控风险。重视和发挥反洗钱义务机构在预防洗钱、恐怖融资和逃税方面的“第一道防线”作用。</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（三）目标要求。</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kern w:val="0"/>
                            <w:sz w:val="24"/>
                            <w:szCs w:val="24"/>
                          </w:rPr>
                          <w:t>到2020年，初步形成适应社会主义市场经济要求、适合中国国情、符合国际标准的“三反”法律法规体系，建立职责清晰、权责对等、配合有力的“三反”监管协调合作机制，有效防控洗钱、恐怖融资和逃税风险。</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二、健全工作机制</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（四）加强统筹协调，完善组织机制。</w:t>
                        </w:r>
                        <w:r w:rsidRPr="00F65210">
                          <w:rPr>
                            <w:rFonts w:ascii="宋体" w:eastAsia="宋体" w:hAnsi="宋体" w:cs="宋体"/>
                            <w:kern w:val="0"/>
                            <w:sz w:val="24"/>
                            <w:szCs w:val="24"/>
                          </w:rPr>
                          <w:t>进一步完善反洗钱工作部际联席会议制度，统筹“三反”监管工作。以反洗钱工作部际联席会议为依托，强化部门间“三反”工作组织协调机制，制定整体战略、重要政策和措施，推动贯彻落实，指导“三反”领域国际合作，加强监管合作。</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（五）研究设计洗钱和恐怖融资风险评估体系，建立反洗钱和反恐怖融资战略形成机制。</w:t>
                        </w:r>
                        <w:r w:rsidRPr="00F65210">
                          <w:rPr>
                            <w:rFonts w:ascii="宋体" w:eastAsia="宋体" w:hAnsi="宋体" w:cs="宋体"/>
                            <w:kern w:val="0"/>
                            <w:sz w:val="24"/>
                            <w:szCs w:val="24"/>
                          </w:rPr>
                          <w:t>积极发挥风险评估在发现问题、完善体制机制、配置资源方面的基础性作用，开展风险导向的反洗钱和反恐怖融资战略研究。建立国家层面的洗钱和恐怖融资风险评估指标体系和评估机制，成立由反洗钱行政主管部门、税务机关、公安机关、国家安全机关、司法机关以及国务院银行业、证券、保险监督管理机构和其他行政机关组成的洗钱和恐怖融资风险评估工作组，定期开展洗钱和恐怖融资风险评估工作。以风险评估发现的问题为导向，制定并定期更新反洗钱和反恐怖融资战略，确定反洗钱和反恐怖融资工作的阶段性目标、主要任务和重大举措，明确任务分工，加大高风险领域反洗钱监管力度。建立多层次评估结果运用机制，由相关单位和反洗钱义务机构根据评估结果有针对性地完善反洗钱和反恐怖融资工作，提升资源配置效率，提高风险防控有效性。</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lastRenderedPageBreak/>
                          <w:t>（六）强化线索移送和案件协查，优化打击犯罪合作机制。</w:t>
                        </w:r>
                        <w:r w:rsidRPr="00F65210">
                          <w:rPr>
                            <w:rFonts w:ascii="宋体" w:eastAsia="宋体" w:hAnsi="宋体" w:cs="宋体"/>
                            <w:kern w:val="0"/>
                            <w:sz w:val="24"/>
                            <w:szCs w:val="24"/>
                          </w:rPr>
                          <w:t>加强反洗钱行政主管部门、税务机关与监察机关、侦查机关、行政执法机关间的沟通协调，进一步完善可疑交易线索合作机制，加强情报会商和信息反馈机制，分析洗钱、恐怖融资和逃税的形势与趋势，不断优化反洗钱调查的策略、方法和技术。反洗钱行政主管部门要加强可疑交易线索移送和案件协查工作，相关单位要加强对线索使用查处情况的及时反馈，形成打击洗钱、恐怖融资和逃税的合力，维护金融秩序和社会稳定。</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（七）加强监管协调，健全监管合作机制。</w:t>
                        </w:r>
                        <w:r w:rsidRPr="00F65210">
                          <w:rPr>
                            <w:rFonts w:ascii="宋体" w:eastAsia="宋体" w:hAnsi="宋体" w:cs="宋体"/>
                            <w:kern w:val="0"/>
                            <w:sz w:val="24"/>
                            <w:szCs w:val="24"/>
                          </w:rPr>
                          <w:t>在行业监管规则中嵌入反洗钱监管要求，构建涵盖事前、事中、事后的完整监管链条。充分发挥反洗钱工作部际联席会议作用，加强反洗钱行政主管部门和金融监管部门之间的协调，完善监管制度、政策和措施，开展联合监管行动，共享监管信息，协调跨境监管合作。</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（八）依法使用政务数据，健全数据信息共享机制。</w:t>
                        </w:r>
                        <w:r w:rsidRPr="00F65210">
                          <w:rPr>
                            <w:rFonts w:ascii="宋体" w:eastAsia="宋体" w:hAnsi="宋体" w:cs="宋体"/>
                            <w:kern w:val="0"/>
                            <w:sz w:val="24"/>
                            <w:szCs w:val="24"/>
                          </w:rPr>
                          <w:t>以依法合规为前提、资源整合为目标，探索研究“三反”数据信息共享标准和统计指标体系，明确相关单位的数据提供责任和数据使用权限。稳步推进数据信息共享机制建设，既要严格依法行政，保护商业秘密和个人隐私，又要推进相关数据库建设，鼓励各方参与共享。建立相关单位间的电子化网络，为实现安全、高效的数据信息共享提供支撑。</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（九）优化监管资源配置，研究完善监管资源保障机制。</w:t>
                        </w:r>
                        <w:r w:rsidRPr="00F65210">
                          <w:rPr>
                            <w:rFonts w:ascii="宋体" w:eastAsia="宋体" w:hAnsi="宋体" w:cs="宋体"/>
                            <w:kern w:val="0"/>
                            <w:sz w:val="24"/>
                            <w:szCs w:val="24"/>
                          </w:rPr>
                          <w:t>按照金融领域全覆盖、特定非金融行业高风险领域重点监管的目标，适时扩大反洗钱、反恐怖融资监管范围。优化监管资源配置与使用，统筹考虑“三反”监管资源保障问题，为“三反”监管提供充足人力物力。</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三、完善法律制度</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（十）推动研究完善相关刑事立法，修改惩治洗钱犯罪和恐怖融资犯罪相关规定。</w:t>
                        </w:r>
                        <w:r w:rsidRPr="00F65210">
                          <w:rPr>
                            <w:rFonts w:ascii="宋体" w:eastAsia="宋体" w:hAnsi="宋体" w:cs="宋体"/>
                            <w:kern w:val="0"/>
                            <w:sz w:val="24"/>
                            <w:szCs w:val="24"/>
                          </w:rPr>
                          <w:t>按照我国参加的国际公约和明确承诺执行的国际标准要求，研究扩大洗钱罪的上游犯罪范围，将上游犯罪本犯纳入洗钱罪的主体范围。对照国际公约要求，根据我国反恐实际需要，推动逐步完善有关恐怖融资犯罪的刑事立法，加强司法解释工作。研究建立相关司法工作激励机制，提升反洗钱工作追偿效果。</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（十一）明确执行联合国安理会反恐怖融资相关决议的程序。</w:t>
                        </w:r>
                        <w:r w:rsidRPr="00F65210">
                          <w:rPr>
                            <w:rFonts w:ascii="宋体" w:eastAsia="宋体" w:hAnsi="宋体" w:cs="宋体"/>
                            <w:kern w:val="0"/>
                            <w:sz w:val="24"/>
                            <w:szCs w:val="24"/>
                          </w:rPr>
                          <w:t>建立定向金融制裁名单的认定发布制度，明确相关单位在名单提交、审议、发布、监督执行、除名等方面的职责分工。完善和细化各行政主管部门、金融监管部门和反</w:t>
                        </w:r>
                        <w:r w:rsidRPr="00F65210">
                          <w:rPr>
                            <w:rFonts w:ascii="宋体" w:eastAsia="宋体" w:hAnsi="宋体" w:cs="宋体"/>
                            <w:kern w:val="0"/>
                            <w:sz w:val="24"/>
                            <w:szCs w:val="24"/>
                          </w:rPr>
                          <w:lastRenderedPageBreak/>
                          <w:t>洗钱义务机构执行联合国安理会反恐怖融资决议要求的程序规定和监管措施，进一步明确资产冻结时效、范围、程序、善意第三人保护及相关法律责任，保证联合国安理会相关决议执行时效。</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（十二）加强特定非金融机构风险监测，探索建立特定非金融机构反洗钱和反恐怖融资监管制度。</w:t>
                        </w:r>
                        <w:r w:rsidRPr="00F65210">
                          <w:rPr>
                            <w:rFonts w:ascii="宋体" w:eastAsia="宋体" w:hAnsi="宋体" w:cs="宋体"/>
                            <w:kern w:val="0"/>
                            <w:sz w:val="24"/>
                            <w:szCs w:val="24"/>
                          </w:rPr>
                          <w:t>加强反洗钱行政主管部门、税务机关与特定非金融行业主管部门间的协调配合，密切关注非金融领域的洗钱、恐怖融资和逃税风险变化情况，对高风险行业开展风险评估，研究分析行业洗钱、恐怖融资和逃税风险分布及发展趋势，提出“三反”监管政策建议。对于反洗钱国际标准明确提出要求的房地产中介、贵金属和珠宝玉石销售、公司服务等行业及其他存在较高风险的特定非金融行业，逐步建立反洗钱和反恐怖融资监管制度。按照“一业一策”原则，由反洗钱行政主管部门会同特定非金融行业主管部门发布特定行业的反洗钱和反恐怖融资监管制度，根据行业监管现状、被监管机构经营特点等确定行业反洗钱和反恐怖融资监管模式。积极发挥行业协会和自律组织的作用，指导行业协会制定本行业反洗钱和反恐怖融资工作指引。</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（十三）加强监管政策配套，健全风险防控制度。</w:t>
                        </w:r>
                        <w:r w:rsidRPr="00F65210">
                          <w:rPr>
                            <w:rFonts w:ascii="宋体" w:eastAsia="宋体" w:hAnsi="宋体" w:cs="宋体"/>
                            <w:kern w:val="0"/>
                            <w:sz w:val="24"/>
                            <w:szCs w:val="24"/>
                          </w:rPr>
                          <w:t>研究建立各监管部门对新成立反洗钱义务机构、非营利组织及其董事、监事和高级管理人员的反洗钱背景审查制度，严格审核发起人、股东、实际控制人、最终受益人和董事、监事、高级管理人员背景，审查资金来源和渠道，从源头上防止不法分子通过创设组织机构进行洗钱、恐怖融资和逃税活动。研究各类无记名可转让有价证券的洗钱风险以及需纳入监管的重点，研究无记名可转让有价证券价值甄别和真伪核验技术，明确反洗钱行政主管部门与海关监管分工，推动对跨境携带无记名可转让有价证券的监管及通报制度尽快出台。制定海关向反洗钱行政主管部门、公安机关、国家安全机关通报跨境携带现金信息的具体程序，完善跨境异常资金监测制度。</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四、健全预防措施</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（十四）建立健全防控风险为本的监管机制，引导反洗钱义务机构有效化解风险。</w:t>
                        </w:r>
                        <w:r w:rsidRPr="00F65210">
                          <w:rPr>
                            <w:rFonts w:ascii="宋体" w:eastAsia="宋体" w:hAnsi="宋体" w:cs="宋体"/>
                            <w:kern w:val="0"/>
                            <w:sz w:val="24"/>
                            <w:szCs w:val="24"/>
                          </w:rPr>
                          <w:t>以有效防控风险为目标，持续优化反洗钱监管政策框架，合理确定反洗钱监管风险容忍度，建立健全监管政策传导机制，督促、引导、激励反洗钱义务机构积极主动加强洗钱和恐怖融资风险管理，充分发挥其在预防洗钱、恐怖融资和逃税方面的“第一道防线”作用。综合运用反洗钱监管政策工具，推行分类监管，完善风险预警和应急处置机制，切实强化对高风险市场、高风险业务和高风险机构的反洗钱监管。</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lastRenderedPageBreak/>
                          <w:t>（十五）强化法人监管措施，提升监管工作效率。</w:t>
                        </w:r>
                        <w:r w:rsidRPr="00F65210">
                          <w:rPr>
                            <w:rFonts w:ascii="宋体" w:eastAsia="宋体" w:hAnsi="宋体" w:cs="宋体"/>
                            <w:kern w:val="0"/>
                            <w:sz w:val="24"/>
                            <w:szCs w:val="24"/>
                          </w:rPr>
                          <w:t>反洗钱行政主管部门和国务院银行业、证券、保险监督管理机构要加强反洗钱监管，以促进反洗钱义务机构自我管理、自主管理风险为目标，逐步建立健全法人监管框架。围绕法人机构和分支机构、集团公司和子公司在风险管理中的不同定位和功能，对反洗钱监管政策适度分层分类。加强反洗钱义务机构总部内控机制要求，强化董事、监事和高级管理人员责任，督促反洗钱义务机构提高履行反洗钱义务的执行力。探索建立与法人监管相适应的监管分工合作机制，搭建满足法人监管需要的技术平台，逐步实现反洗钱监管信息跨区域共享。在严格遵守保密规定的前提下，研究建立反洗钱义务机构之间的反洗钱工作信息交流平台和交流机制。</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（十六）健全监测分析体系，提升监测分析水平。</w:t>
                        </w:r>
                        <w:r w:rsidRPr="00F65210">
                          <w:rPr>
                            <w:rFonts w:ascii="宋体" w:eastAsia="宋体" w:hAnsi="宋体" w:cs="宋体"/>
                            <w:kern w:val="0"/>
                            <w:sz w:val="24"/>
                            <w:szCs w:val="24"/>
                          </w:rPr>
                          <w:t>不断拓宽反洗钱监测分析数据信息来源，依法推动数据信息在相关单位间的双向流动和共享。强化反洗钱监测分析工作的组织协调，有针对性地做好对重点领域、重点地区、重点人群的监测分析工作。不断延伸反洗钱监管触角，将相关单位关于可疑交易报告信息使用情况的反馈信息和评价意见，作为反洗钱行政主管部门开展反洗钱义务机构可疑交易报告评价工作的重要依据。丰富非现场监管政策工具，弥补书面审查工作的不足。发挥会计师事务所、律师事务所等专业服务机构在反洗钱监测预警和依法处置中的积极作用，研究专业服务机构有关反洗钱的制度措施。</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（十七）鼓励创新和坚守底线并重，妥善应对伴随新业务和新业态出现的风险。</w:t>
                        </w:r>
                        <w:r w:rsidRPr="00F65210">
                          <w:rPr>
                            <w:rFonts w:ascii="宋体" w:eastAsia="宋体" w:hAnsi="宋体" w:cs="宋体"/>
                            <w:kern w:val="0"/>
                            <w:sz w:val="24"/>
                            <w:szCs w:val="24"/>
                          </w:rPr>
                          <w:t>建立健全反洗钱义务机构洗钱和恐怖融资风险自评估制度，对新产品、新业务、新技术、新渠道产生的洗钱和恐怖融资风险自主进行持续识别和评估，动态监测市场风险变化，完善有关反洗钱监管要求。强化反洗钱义务机构自主管理风险的责任，反洗钱义务机构推出新产品、新业务前，须开展洗钱和恐怖融资风险自评估，并按照风险评估结果采取有效的风险防控措施。鼓励反洗钱义务机构利用大数据、云计算等新技术提升反洗钱和反恐怖融资工作有效性。</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（十八）完善跨境异常资金监控机制，预防打击跨境金融犯罪活动。</w:t>
                        </w:r>
                        <w:r w:rsidRPr="00F65210">
                          <w:rPr>
                            <w:rFonts w:ascii="宋体" w:eastAsia="宋体" w:hAnsi="宋体" w:cs="宋体"/>
                            <w:kern w:val="0"/>
                            <w:sz w:val="24"/>
                            <w:szCs w:val="24"/>
                          </w:rPr>
                          <w:t>以加强异常交易监测为切入点，综合运用外汇交易监测、跨境人民币交易监测和反洗钱资金交易监测等信息，及时发现跨境洗钱和恐怖融资风险。遵循反洗钱国际标准有关支付清算透明度的要求，指导金融机构加强风险管理，增强跨境人民币清算体系的“三反”监测预警功能，维护人民币支付清算体系的良好声誉，降低金融机构跨境业务风险。</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（十九）建立健全培训教育机制，培养建设专业人才队伍。</w:t>
                        </w:r>
                        <w:r w:rsidRPr="00F65210">
                          <w:rPr>
                            <w:rFonts w:ascii="宋体" w:eastAsia="宋体" w:hAnsi="宋体" w:cs="宋体"/>
                            <w:kern w:val="0"/>
                            <w:sz w:val="24"/>
                            <w:szCs w:val="24"/>
                          </w:rPr>
                          <w:t>建立全面覆盖</w:t>
                        </w:r>
                        <w:r w:rsidRPr="00F65210">
                          <w:rPr>
                            <w:rFonts w:ascii="宋体" w:eastAsia="宋体" w:hAnsi="宋体" w:cs="宋体"/>
                            <w:kern w:val="0"/>
                            <w:sz w:val="24"/>
                            <w:szCs w:val="24"/>
                          </w:rPr>
                          <w:lastRenderedPageBreak/>
                          <w:t>各类反洗钱义务机构的反洗钱培训教育机制，提升相关人员反洗钱工作水平。积极鼓励创新反洗钱培训教育形式，充分利用现代科技手段扩大受众范围，加大对基层人员的教育培训力度。</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五、严惩违法犯罪活动</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（二十）有效整合稽查资源，严厉打击涉税违法犯罪。</w:t>
                        </w:r>
                        <w:r w:rsidRPr="00F65210">
                          <w:rPr>
                            <w:rFonts w:ascii="宋体" w:eastAsia="宋体" w:hAnsi="宋体" w:cs="宋体"/>
                            <w:kern w:val="0"/>
                            <w:sz w:val="24"/>
                            <w:szCs w:val="24"/>
                          </w:rPr>
                          <w:t>建立健全随机抽查制度和案源管理制度，增强稽查质效。推行风险管理导向下的定向稽查模式，增强稽查的精准性和震慑力。防范和打击税基侵蚀及利润转移。在全国范围内开展跨部门、跨区域专项打击行动，联合查处一批骗取出口退税和虚开增值税专用发票重大案件，摧毁一批职业化犯罪团伙和网络，严惩一批违法犯罪企业和人员，挽回国家税款损失，有效遏制骗取出口退税和虚开增值税专用发票违法犯罪活动高发多发势头，维护国家税收秩序和税收安全。</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（二十一）建立打击关税违法犯罪活动合作机制。</w:t>
                        </w:r>
                        <w:r w:rsidRPr="00F65210">
                          <w:rPr>
                            <w:rFonts w:ascii="宋体" w:eastAsia="宋体" w:hAnsi="宋体" w:cs="宋体"/>
                            <w:kern w:val="0"/>
                            <w:sz w:val="24"/>
                            <w:szCs w:val="24"/>
                          </w:rPr>
                          <w:t>加强反洗钱行政主管部门与海关缉私部门的协作配合，合力打击偷逃关税违法犯罪活动。反洗钱行政主管部门要与海关缉私部门联合开展有关偷逃关税非法资金流动特征模型的研究，提升对偷逃关税违法犯罪资金线索的监测分析能力，及时向海关缉私部门通报；会同国务院银行业监督管理机构积极协助海关缉私部门打击偷逃关税违法犯罪活动资金交易，扩大打击偷逃关税违法犯罪活动成果，形成打击合力。海关缉私部门要及时将工作中发现的洗钱活动线索通报反洗钱行政主管部门及相关有权机关，积极协助反洗钱行政主管部门及相关有权机关开展工作。</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（二十二）加大反洗钱调查工作力度，建立健全洗钱类型分析工作机制。</w:t>
                        </w:r>
                        <w:r w:rsidRPr="00F65210">
                          <w:rPr>
                            <w:rFonts w:ascii="宋体" w:eastAsia="宋体" w:hAnsi="宋体" w:cs="宋体"/>
                            <w:kern w:val="0"/>
                            <w:sz w:val="24"/>
                            <w:szCs w:val="24"/>
                          </w:rPr>
                          <w:t>进一步规范反洗钱调查工作程序，完善反洗钱调查流程，优化调查手段，加强可疑交易线索分析研判，加强反洗钱调查和线索移送，积极配合有权机关的协查请求，不断增强反洗钱调查工作实效。加强洗钱类型分析和风险提示，指导反洗钱义务机构开展洗钱类型分析，及时向反洗钱义务机构发布洗钱风险提示，督促反洗钱义务机构加强风险预警。</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六、深化国际合作</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（二十三）做好反洗钱和反恐怖融资互评估，树立良好国际形象。</w:t>
                        </w:r>
                        <w:r w:rsidRPr="00F65210">
                          <w:rPr>
                            <w:rFonts w:ascii="宋体" w:eastAsia="宋体" w:hAnsi="宋体" w:cs="宋体"/>
                            <w:kern w:val="0"/>
                            <w:sz w:val="24"/>
                            <w:szCs w:val="24"/>
                          </w:rPr>
                          <w:t>切实履行成员义务，积极做好金融行动特别工作组（FATF）反洗钱和反恐怖融资互评估。将国际组织评估作为完善和改进反洗钱工作的重要契机，组织动员相关单位和反洗钱义务机构，严格对照反洗钱国际标准，结合我国实际情况，切实提高反洗钱工作合规性和有效性。</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（二十四）深化反洗钱国际合作，促进我国总体战略部署顺利实施。</w:t>
                        </w:r>
                        <w:r w:rsidRPr="00F65210">
                          <w:rPr>
                            <w:rFonts w:ascii="宋体" w:eastAsia="宋体" w:hAnsi="宋体" w:cs="宋体"/>
                            <w:kern w:val="0"/>
                            <w:sz w:val="24"/>
                            <w:szCs w:val="24"/>
                          </w:rPr>
                          <w:t>进一</w:t>
                        </w:r>
                        <w:r w:rsidRPr="00F65210">
                          <w:rPr>
                            <w:rFonts w:ascii="宋体" w:eastAsia="宋体" w:hAnsi="宋体" w:cs="宋体"/>
                            <w:kern w:val="0"/>
                            <w:sz w:val="24"/>
                            <w:szCs w:val="24"/>
                          </w:rPr>
                          <w:lastRenderedPageBreak/>
                          <w:t>步深入参与反洗钱国际标准研究、制定和监督执行，积极参与反洗钱国际（区域）组织内部治理改革和重大决策，提升我国在反洗钱国际（区域）组织中的话语权和影响力。继续加强反洗钱双边交流与合作，推进中美反洗钱和反恐怖融资监管合作。建立与部分重点国家（地区）的反洗钱监管合作机制，督促指导中资金融机构及其海外分支机构提升反洗钱工作意识和水平，维护其合法权益。配合“一带一路”倡议，做好与周边国家（地区）的反洗钱交流与合作。加强沟通协调，稳步推进加入埃格蒙特集团相关工作。利用国际金融情报交流平台，拓展反洗钱情报渠道。</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（二十五）深化反逃税国际合作，维护我国税收权益。</w:t>
                        </w:r>
                        <w:r w:rsidRPr="00F65210">
                          <w:rPr>
                            <w:rFonts w:ascii="宋体" w:eastAsia="宋体" w:hAnsi="宋体" w:cs="宋体"/>
                            <w:kern w:val="0"/>
                            <w:sz w:val="24"/>
                            <w:szCs w:val="24"/>
                          </w:rPr>
                          <w:t>深度参与二十国集团税制改革成果转化，积极参与国际税收规则制定，积极发出中国声音，提出中国方案，贡献中国智慧，切实提升中国税务话语权。加强双多边税收合作，充分发挥国际税收信息交换的作用，提高税收透明度，严厉打击国际逃避税，充分发挥反逃避税对反洗钱的积极作用，同时运用好反洗钱机制，不断提高反逃避税的精准度。</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宋体" w:eastAsia="宋体" w:hAnsi="宋体" w:cs="宋体"/>
                            <w:b/>
                            <w:bCs/>
                            <w:kern w:val="0"/>
                            <w:sz w:val="24"/>
                            <w:szCs w:val="24"/>
                          </w:rPr>
                          <w:t>七、创造良好社会氛围</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（二十六）加强自律管理，充分发挥自律组织积极作用。</w:t>
                        </w:r>
                        <w:r w:rsidRPr="00F65210">
                          <w:rPr>
                            <w:rFonts w:ascii="宋体" w:eastAsia="宋体" w:hAnsi="宋体" w:cs="宋体"/>
                            <w:kern w:val="0"/>
                            <w:sz w:val="24"/>
                            <w:szCs w:val="24"/>
                          </w:rPr>
                          <w:t>各主管部门要指导相关行业协会积极参与“三反”工作，制定反洗钱自律规则和工作指引，加强自律管理，强化反洗钱义务机构守法、诚信、自律意识，推动反洗钱义务机构积极参与和配合“三反”工作，促进反洗钱义务机构之间交流信息和经验，营造积极健康的反洗钱合规环境。</w:t>
                        </w:r>
                      </w:p>
                      <w:p w:rsidR="00F65210" w:rsidRPr="00F65210" w:rsidRDefault="00F65210" w:rsidP="00F65210">
                        <w:pPr>
                          <w:widowControl/>
                          <w:spacing w:line="432" w:lineRule="atLeast"/>
                          <w:ind w:firstLine="480"/>
                          <w:rPr>
                            <w:rFonts w:ascii="宋体" w:eastAsia="宋体" w:hAnsi="宋体" w:cs="宋体"/>
                            <w:kern w:val="0"/>
                            <w:sz w:val="24"/>
                            <w:szCs w:val="24"/>
                          </w:rPr>
                        </w:pPr>
                        <w:r w:rsidRPr="00F65210">
                          <w:rPr>
                            <w:rFonts w:ascii="楷体" w:eastAsia="楷体" w:hAnsi="楷体" w:cs="宋体" w:hint="eastAsia"/>
                            <w:kern w:val="0"/>
                            <w:sz w:val="24"/>
                            <w:szCs w:val="24"/>
                          </w:rPr>
                          <w:t>（二十七）持续开展宣传教育，提升社会公众参与配合意识。</w:t>
                        </w:r>
                        <w:r w:rsidRPr="00F65210">
                          <w:rPr>
                            <w:rFonts w:ascii="宋体" w:eastAsia="宋体" w:hAnsi="宋体" w:cs="宋体"/>
                            <w:kern w:val="0"/>
                            <w:sz w:val="24"/>
                            <w:szCs w:val="24"/>
                          </w:rPr>
                          <w:t>建立常态化的“三反”宣传教育机制，向社会公众普及“三反”基本常识，提示风险，提高社会公众自我保护能力。采取灵活多样的形式开展宣传教育，提升社会公众“三反”意识，增强其主动配合“三反”工作的意愿，为开展“三反”工作营造良好氛围。</w:t>
                        </w:r>
                      </w:p>
                      <w:p w:rsidR="00F65210" w:rsidRPr="00F65210" w:rsidRDefault="00F65210" w:rsidP="00F65210">
                        <w:pPr>
                          <w:widowControl/>
                          <w:spacing w:line="432" w:lineRule="atLeast"/>
                          <w:jc w:val="right"/>
                          <w:rPr>
                            <w:rFonts w:ascii="宋体" w:eastAsia="宋体" w:hAnsi="宋体" w:cs="宋体"/>
                            <w:kern w:val="0"/>
                            <w:sz w:val="24"/>
                            <w:szCs w:val="24"/>
                          </w:rPr>
                        </w:pPr>
                        <w:r w:rsidRPr="00F65210">
                          <w:rPr>
                            <w:rFonts w:ascii="宋体" w:eastAsia="宋体" w:hAnsi="宋体" w:cs="宋体"/>
                            <w:kern w:val="0"/>
                            <w:sz w:val="24"/>
                            <w:szCs w:val="24"/>
                          </w:rPr>
                          <w:t xml:space="preserve">国务院办公厅 　　　　　</w:t>
                        </w:r>
                      </w:p>
                      <w:p w:rsidR="00F65210" w:rsidRPr="00F65210" w:rsidRDefault="00F65210" w:rsidP="00F65210">
                        <w:pPr>
                          <w:widowControl/>
                          <w:spacing w:line="432" w:lineRule="atLeast"/>
                          <w:jc w:val="right"/>
                          <w:rPr>
                            <w:rFonts w:ascii="宋体" w:eastAsia="宋体" w:hAnsi="宋体" w:cs="宋体"/>
                            <w:kern w:val="0"/>
                            <w:sz w:val="24"/>
                            <w:szCs w:val="24"/>
                          </w:rPr>
                        </w:pPr>
                        <w:r w:rsidRPr="00F65210">
                          <w:rPr>
                            <w:rFonts w:ascii="宋体" w:eastAsia="宋体" w:hAnsi="宋体" w:cs="宋体"/>
                            <w:kern w:val="0"/>
                            <w:sz w:val="24"/>
                            <w:szCs w:val="24"/>
                          </w:rPr>
                          <w:t>2017年8月29日</w:t>
                        </w:r>
                      </w:p>
                    </w:tc>
                  </w:tr>
                </w:tbl>
                <w:p w:rsidR="00F65210" w:rsidRPr="00F65210" w:rsidRDefault="00F65210" w:rsidP="00F65210">
                  <w:pPr>
                    <w:widowControl/>
                    <w:jc w:val="left"/>
                    <w:rPr>
                      <w:rFonts w:ascii="宋体" w:eastAsia="宋体" w:hAnsi="宋体" w:cs="宋体"/>
                      <w:kern w:val="0"/>
                      <w:sz w:val="24"/>
                      <w:szCs w:val="24"/>
                    </w:rPr>
                  </w:pPr>
                </w:p>
              </w:tc>
            </w:tr>
          </w:tbl>
          <w:p w:rsidR="00F65210" w:rsidRPr="00F65210" w:rsidRDefault="00F65210" w:rsidP="00F65210">
            <w:pPr>
              <w:widowControl/>
              <w:jc w:val="left"/>
              <w:rPr>
                <w:rFonts w:ascii="宋体" w:eastAsia="宋体" w:hAnsi="宋体" w:cs="宋体"/>
                <w:color w:val="333333"/>
                <w:kern w:val="0"/>
                <w:szCs w:val="21"/>
              </w:rPr>
            </w:pPr>
          </w:p>
        </w:tc>
      </w:tr>
    </w:tbl>
    <w:p w:rsidR="00201778" w:rsidRDefault="00201778"/>
    <w:sectPr w:rsidR="00201778" w:rsidSect="00AE5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58" w:rsidRDefault="00770158" w:rsidP="00F65210">
      <w:r>
        <w:separator/>
      </w:r>
    </w:p>
  </w:endnote>
  <w:endnote w:type="continuationSeparator" w:id="0">
    <w:p w:rsidR="00770158" w:rsidRDefault="00770158" w:rsidP="00F6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58" w:rsidRDefault="00770158" w:rsidP="00F65210">
      <w:r>
        <w:separator/>
      </w:r>
    </w:p>
  </w:footnote>
  <w:footnote w:type="continuationSeparator" w:id="0">
    <w:p w:rsidR="00770158" w:rsidRDefault="00770158" w:rsidP="00F65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210"/>
    <w:rsid w:val="00201778"/>
    <w:rsid w:val="006140F2"/>
    <w:rsid w:val="00770158"/>
    <w:rsid w:val="00AE5D5F"/>
    <w:rsid w:val="00BF6012"/>
    <w:rsid w:val="00D865F5"/>
    <w:rsid w:val="00F65210"/>
    <w:rsid w:val="00F8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27884-1549-4AB8-8EA3-D031FA3A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2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210"/>
    <w:rPr>
      <w:sz w:val="18"/>
      <w:szCs w:val="18"/>
    </w:rPr>
  </w:style>
  <w:style w:type="paragraph" w:styleId="a5">
    <w:name w:val="footer"/>
    <w:basedOn w:val="a"/>
    <w:link w:val="a6"/>
    <w:uiPriority w:val="99"/>
    <w:unhideWhenUsed/>
    <w:rsid w:val="00F65210"/>
    <w:pPr>
      <w:tabs>
        <w:tab w:val="center" w:pos="4153"/>
        <w:tab w:val="right" w:pos="8306"/>
      </w:tabs>
      <w:snapToGrid w:val="0"/>
      <w:jc w:val="left"/>
    </w:pPr>
    <w:rPr>
      <w:sz w:val="18"/>
      <w:szCs w:val="18"/>
    </w:rPr>
  </w:style>
  <w:style w:type="character" w:customStyle="1" w:styleId="a6">
    <w:name w:val="页脚 字符"/>
    <w:basedOn w:val="a0"/>
    <w:link w:val="a5"/>
    <w:uiPriority w:val="99"/>
    <w:rsid w:val="00F652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7238">
      <w:bodyDiv w:val="1"/>
      <w:marLeft w:val="0"/>
      <w:marRight w:val="0"/>
      <w:marTop w:val="0"/>
      <w:marBottom w:val="0"/>
      <w:divBdr>
        <w:top w:val="none" w:sz="0" w:space="0" w:color="auto"/>
        <w:left w:val="none" w:sz="0" w:space="0" w:color="auto"/>
        <w:bottom w:val="none" w:sz="0" w:space="0" w:color="auto"/>
        <w:right w:val="none" w:sz="0" w:space="0" w:color="auto"/>
      </w:divBdr>
    </w:div>
    <w:div w:id="437413249">
      <w:bodyDiv w:val="1"/>
      <w:marLeft w:val="0"/>
      <w:marRight w:val="0"/>
      <w:marTop w:val="0"/>
      <w:marBottom w:val="0"/>
      <w:divBdr>
        <w:top w:val="none" w:sz="0" w:space="0" w:color="auto"/>
        <w:left w:val="none" w:sz="0" w:space="0" w:color="auto"/>
        <w:bottom w:val="none" w:sz="0" w:space="0" w:color="auto"/>
        <w:right w:val="none" w:sz="0" w:space="0" w:color="auto"/>
      </w:divBdr>
    </w:div>
    <w:div w:id="17058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赵瑞平</dc:creator>
  <cp:keywords/>
  <dc:description/>
  <cp:lastModifiedBy>赵瑞平</cp:lastModifiedBy>
  <cp:revision>3</cp:revision>
  <dcterms:created xsi:type="dcterms:W3CDTF">2018-11-19T02:51:00Z</dcterms:created>
  <dcterms:modified xsi:type="dcterms:W3CDTF">2019-07-09T03:25:00Z</dcterms:modified>
</cp:coreProperties>
</file>