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固收周报三二一：利差继续压缩</w:t>
      </w:r>
    </w:p>
    <w:p>
      <w:pPr>
        <w:jc w:val="center"/>
        <w:rPr>
          <w:rFonts w:hint="eastAsia"/>
          <w:b/>
          <w:bCs/>
          <w:sz w:val="28"/>
          <w:szCs w:val="28"/>
        </w:rPr>
      </w:pPr>
      <w:bookmarkStart w:id="0" w:name="_GoBack"/>
      <w:r>
        <w:rPr>
          <w:rFonts w:hint="default"/>
          <w:b w:val="0"/>
          <w:bCs w:val="0"/>
          <w:sz w:val="28"/>
          <w:szCs w:val="28"/>
        </w:rPr>
        <w:t>（2020/3/16-2020/3/22）</w:t>
      </w:r>
    </w:p>
    <w:bookmarkEnd w:id="0"/>
    <w:p>
      <w:pPr>
        <w:jc w:val="center"/>
        <w:rPr>
          <w:rFonts w:hint="eastAsia"/>
          <w:b/>
          <w:bCs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mp-quote" w:hAnsi="mp-quote" w:eastAsia="mp-quote" w:cs="mp-quote"/>
          <w:i w:val="0"/>
          <w:caps w:val="0"/>
          <w:color w:val="333333"/>
          <w:spacing w:val="0"/>
          <w:kern w:val="0"/>
          <w:sz w:val="34"/>
          <w:szCs w:val="34"/>
          <w:lang w:val="en-US" w:eastAsia="zh-CN" w:bidi="ar"/>
        </w:rPr>
      </w:pPr>
      <w:r>
        <w:rPr>
          <w:rFonts w:ascii="mp-quote" w:hAnsi="mp-quote" w:eastAsia="mp-quote" w:cs="mp-quote"/>
          <w:i w:val="0"/>
          <w:caps w:val="0"/>
          <w:color w:val="333333"/>
          <w:spacing w:val="0"/>
          <w:kern w:val="0"/>
          <w:sz w:val="34"/>
          <w:szCs w:val="34"/>
          <w:lang w:val="en-US" w:eastAsia="zh-CN" w:bidi="ar"/>
        </w:rPr>
        <w:drawing>
          <wp:inline distT="0" distB="0" distL="114300" distR="114300">
            <wp:extent cx="4625975" cy="2413635"/>
            <wp:effectExtent l="0" t="0" r="22225" b="2476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5975" cy="2413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Style w:val="4"/>
          <w:rFonts w:hint="default" w:ascii="mp-quote" w:hAnsi="mp-quote" w:eastAsia="mp-quote" w:cs="mp-quote"/>
          <w:i w:val="0"/>
          <w:caps w:val="0"/>
          <w:color w:val="FFFFFF"/>
          <w:spacing w:val="0"/>
          <w:sz w:val="32"/>
          <w:szCs w:val="32"/>
          <w:shd w:val="clear" w:fill="FFA90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FFFFFF"/>
          <w:spacing w:val="0"/>
          <w:sz w:val="24"/>
          <w:szCs w:val="24"/>
          <w:shd w:val="clear" w:fill="FFA900"/>
        </w:rPr>
        <w:t>三个重大要闻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4096"/>
          <w:spacing w:val="0"/>
          <w:sz w:val="24"/>
          <w:szCs w:val="24"/>
        </w:rPr>
        <w:t>1.美联储启动商业票据购买（CPFF），全球开启量化宽松。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继美联储降息至零利率后，北京时间3月17日晚，美联储宣布启用商业票据购买（CPFF），也是2008年9月雷曼兄弟公司事件后，美联储再度重启这一工具。此外，欧央行宣布7500亿欧元针对新冠肺炎疫情的资产购买计划，德国从4月1日起将当前的逆周期资本缓冲比例从0.25%降低至0%；西班牙宣布总值2000亿欧元（约GDP的16%）的金融援助计划。随着全球疫情的进一步加剧，全球央行进行量化宽松阶段，以对冲疫情对经济带来的干扰。（信息来源：Wind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4096"/>
          <w:spacing w:val="0"/>
          <w:sz w:val="24"/>
          <w:szCs w:val="24"/>
        </w:rPr>
        <w:t>2.疫情导致1-2月经济数据受到明显冲击，复工助推后续经济逐步修复。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统计局3月16日发布数据显示，受疫情冲击影响，1-2月经济数据超预期大幅下行至历史低位。固定资产投资增速为-24.5%，制造业、基建、和地产投资均有不同程度的下滑，其中房地产投资累计增速为-16.3%，统计局口径的基础设施投资（不含电力）累计同比-30.3%，制造业投资同比-31.5%，社零同比-20.5%。（数据来源：国家统计局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目前国内疫情基本得到控制，全国开工复工稳步推进、积极扩大消费，将助推后续经济逐步修复。中央政治局多次表示要加快推进全面复工复产、恢复正常生产生活秩序，国家发改委表示，截至3月20日，重点项目复工率为89.1%；此外，发改委、商务部均表示要积极扩大国内消费，商务部表示将研究推出促进汽车、家具、家电等重点商品消费的政策措施、包括放宽汽车限购、引导各地制定补贴政策、鼓励企业开展电子产品以旧换新。预计三月份经济数据将有所好转，国内经济开始复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4096"/>
          <w:spacing w:val="0"/>
          <w:sz w:val="24"/>
          <w:szCs w:val="24"/>
        </w:rPr>
        <w:t>3.央行MLF及LPR均保持定力，货币政策维持独立性。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3月16日央行开展1000亿元MLF操作，但却保持MLF 3.15%的利率不变，同时3月20日（上周五）一年期和五年期的LPR报价也没有按市场预期下调。（信息来源：中国人民银行）央行货币政策保持定力，主要原因在于：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①是相较于海外国家，中国疫情已经可控，且宏观经济处于修复上行中，前期我国已经以降准降息的方式向市场释放足量流动性，并降低利率，目前的要点在于将堆积在金融市场的流动性传导至实体经济；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②是近期美元在流动性危机下走强，带动人民币走弱，央行需要维护汇率稳定，不愿降低利率；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③是根据央行马骏解释，LPR整体下调有一个阈值，即各报价行的有效报价的平均值变化达到5个基点，才会调整最终的LPR，3月中旬的普惠金融定向降准对每家银行的影响不同，还需要给一些时间，才能充分体现降准和公开市场操作对LPR的影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但央行逆周期调节、降低实体经济利率的政策没有改变，同时近期银行开始对存量贷款进行LPR定价的批量置换，预计在疫情可控、经济出现明显起色之前，货币政策仍维持宽松，实体利率将逐步下行。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FFFFFF"/>
          <w:spacing w:val="0"/>
          <w:sz w:val="24"/>
          <w:szCs w:val="24"/>
          <w:shd w:val="clear" w:fill="FFA900"/>
        </w:rPr>
        <w:t>两个方向的重大驱动因素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利多：疫情蔓延导致全球经济下行。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利空：海外流动性风险还未解除。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FFFFFF"/>
          <w:spacing w:val="0"/>
          <w:sz w:val="24"/>
          <w:szCs w:val="24"/>
          <w:shd w:val="clear" w:fill="FFA900"/>
        </w:rPr>
        <w:t>一个清晰结论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004096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疫情干扰金融市场及经济走向的主逻辑没有改变，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4096"/>
          <w:spacing w:val="0"/>
          <w:sz w:val="24"/>
          <w:szCs w:val="24"/>
        </w:rPr>
        <w:t>在宽松的货币环境下，信用利差和期限利差可能均继续压缩。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004096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声明</w:t>
      </w:r>
      <w:r>
        <w:rPr>
          <w:rStyle w:val="4"/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 w:bidi="ar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报告中引用的相关数据和内容均来自WIND等公开信息，由提供方保证其真实性、准确性、完整性。在任何情况下，我公司不就报告中的任何观点做出任何形式的担保，也不保证有关观点或分析不发生变化或更新，不代表我公司或者其他关联机构的正式观点。本报告内容和意见并非为投资者提供市场走势、个股和基金进行投资决策的参考，使用前务必请核实，风险自负。本报告版权归兴银基金管理有限责任公司所有，未获得兴银基金管理有限责任公司事先书面授权，任何人不得对本报告进行任何形式的发布、复制。本报告不代表我公司基金观点，不构成对我公司旗下基金实际投资行为的约束。投资有风险，入市需谨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mp-quot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EB52E"/>
    <w:rsid w:val="7CEEB52E"/>
    <w:rsid w:val="D792B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Office_1.9.2.3124_F1E327BC-269C-435d-A152-05C5408002CA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2020-03-27T22:04:00Z</dcterms:created>
  <dc:creator>beita</dc:creator>
  <cp:lastModifiedBy>beita</cp:lastModifiedBy>
  <dcterms:modified xsi:type="dcterms:W3CDTF">2020-03-27T14:33:21Z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2052-1.9.2.3124</vt:lpwstr>
  </property>
</Properties>
</file>