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28"/>
          <w:szCs w:val="28"/>
        </w:rPr>
      </w:pPr>
      <w:r>
        <w:rPr>
          <w:rFonts w:hint="eastAsia"/>
          <w:b/>
          <w:bCs/>
          <w:sz w:val="28"/>
          <w:szCs w:val="28"/>
        </w:rPr>
        <w:t>权益投资中的GARP策略了解一下？</w:t>
      </w:r>
      <w:r>
        <w:rPr>
          <w:rFonts w:hint="default"/>
          <w:b/>
          <w:bCs/>
          <w:sz w:val="28"/>
          <w:szCs w:val="28"/>
        </w:rPr>
        <w:t xml:space="preserve">| </w:t>
      </w:r>
      <w:r>
        <w:rPr>
          <w:rFonts w:hint="eastAsia"/>
          <w:b/>
          <w:bCs/>
          <w:sz w:val="28"/>
          <w:szCs w:val="28"/>
        </w:rPr>
        <w:t>致慧学堂</w:t>
      </w:r>
      <w:r>
        <w:rPr>
          <w:rFonts w:hint="default"/>
          <w:b/>
          <w:bCs/>
          <w:sz w:val="28"/>
          <w:szCs w:val="28"/>
        </w:rPr>
        <w:t>第9期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28"/>
          <w:szCs w:val="28"/>
        </w:rPr>
      </w:pPr>
    </w:p>
    <w:p>
      <w:pPr>
        <w:keepNext w:val="0"/>
        <w:keepLines w:val="0"/>
        <w:widowControl/>
        <w:suppressLineNumbers w:val="0"/>
        <w:ind w:firstLine="560" w:firstLineChars="200"/>
        <w:jc w:val="left"/>
        <w:rPr>
          <w:rFonts w:hint="default"/>
          <w:sz w:val="28"/>
          <w:szCs w:val="28"/>
          <w:lang w:val="en-US" w:eastAsia="zh-CN"/>
        </w:rPr>
      </w:pPr>
      <w:r>
        <w:rPr>
          <w:sz w:val="28"/>
          <w:szCs w:val="28"/>
          <w:lang w:val="en-US" w:eastAsia="zh-CN"/>
        </w:rPr>
        <w:t>谈到股票投资风格，大家经常会讨论是价值还是成长，其实还有一种比较洋气的投资策略——</w:t>
      </w:r>
      <w:r>
        <w:rPr>
          <w:rFonts w:hint="default"/>
          <w:sz w:val="28"/>
          <w:szCs w:val="28"/>
          <w:lang w:val="en-US" w:eastAsia="zh-CN"/>
        </w:rPr>
        <w:t>GARP(Growth at a Reasonable Price)。它是价值+成长的混合策略，通俗地说，就是以较低价格买入成长性较高的股票。</w:t>
      </w:r>
    </w:p>
    <w:p>
      <w:pPr>
        <w:keepNext w:val="0"/>
        <w:keepLines w:val="0"/>
        <w:widowControl/>
        <w:suppressLineNumbers w:val="0"/>
        <w:ind w:firstLine="560" w:firstLineChars="200"/>
        <w:jc w:val="left"/>
        <w:rPr>
          <w:sz w:val="28"/>
          <w:szCs w:val="28"/>
        </w:rPr>
      </w:pPr>
      <w:r>
        <w:rPr>
          <w:sz w:val="28"/>
          <w:szCs w:val="28"/>
          <w:lang w:val="en-US" w:eastAsia="zh-CN"/>
        </w:rPr>
        <w:t>GARP投资策略</w:t>
      </w:r>
      <w:r>
        <w:rPr>
          <w:rFonts w:hint="default"/>
          <w:sz w:val="28"/>
          <w:szCs w:val="28"/>
          <w:lang w:val="en-US" w:eastAsia="zh-CN"/>
        </w:rPr>
        <w:t>是继价值投资和成长投资之后最为热门的投资策略之一，该策略的典型代表是投资大师彼得林奇（Peter Lynch）。目前国内也有不少基金经理认可并延续了这一投资理念。</w:t>
      </w:r>
    </w:p>
    <w:p>
      <w:pPr>
        <w:keepNext w:val="0"/>
        <w:keepLines w:val="0"/>
        <w:widowControl/>
        <w:suppressLineNumbers w:val="0"/>
        <w:ind w:firstLine="560" w:firstLineChars="200"/>
        <w:jc w:val="left"/>
        <w:rPr>
          <w:sz w:val="28"/>
          <w:szCs w:val="28"/>
        </w:rPr>
      </w:pPr>
      <w:r>
        <w:rPr>
          <w:sz w:val="28"/>
          <w:szCs w:val="28"/>
          <w:lang w:val="en-US" w:eastAsia="zh-CN"/>
        </w:rPr>
        <w:t>GARP策略选股</w:t>
      </w:r>
      <w:r>
        <w:rPr>
          <w:rFonts w:hint="default"/>
          <w:sz w:val="28"/>
          <w:szCs w:val="28"/>
          <w:lang w:val="en-US" w:eastAsia="zh-CN"/>
        </w:rPr>
        <w:t>时兼顾价值和成长，风险相对适中，试图寻找某种程度上被市场低估的股票，同时又有较强的持续稳定增长的潜力股。一方面利用股票的成长属性分享高成长收益机会；另一方面，利用价值型投资标准筛选低估值股票，有效控制市场波动时的风险。</w:t>
      </w:r>
    </w:p>
    <w:p>
      <w:pPr>
        <w:keepNext w:val="0"/>
        <w:keepLines w:val="0"/>
        <w:widowControl/>
        <w:suppressLineNumbers w:val="0"/>
        <w:ind w:firstLine="560" w:firstLineChars="200"/>
        <w:jc w:val="left"/>
        <w:rPr>
          <w:sz w:val="28"/>
          <w:szCs w:val="28"/>
        </w:rPr>
      </w:pPr>
      <w:r>
        <w:rPr>
          <w:sz w:val="28"/>
          <w:szCs w:val="28"/>
          <w:lang w:val="en-US" w:eastAsia="zh-CN"/>
        </w:rPr>
        <w:t>GARP策略与价值投资</w:t>
      </w:r>
      <w:r>
        <w:rPr>
          <w:rFonts w:hint="default"/>
          <w:sz w:val="28"/>
          <w:szCs w:val="28"/>
          <w:lang w:val="en-US" w:eastAsia="zh-CN"/>
        </w:rPr>
        <w:t>和成长投资的区别在于，价值投资偏重于投资价值低估的公司，成长投资注重于投资成长性高的公司，而GARP则能够弥补纯粹价值投资和成长投资的不足，能尽量兼顾价值和成长。</w:t>
      </w:r>
    </w:p>
    <w:p>
      <w:pPr>
        <w:keepNext w:val="0"/>
        <w:keepLines w:val="0"/>
        <w:widowControl/>
        <w:suppressLineNumbers w:val="0"/>
        <w:ind w:firstLine="560" w:firstLineChars="200"/>
        <w:jc w:val="left"/>
        <w:rPr>
          <w:sz w:val="28"/>
          <w:szCs w:val="28"/>
        </w:rPr>
      </w:pPr>
      <w:r>
        <w:rPr>
          <w:rFonts w:hint="default"/>
          <w:sz w:val="28"/>
          <w:szCs w:val="28"/>
        </w:rPr>
        <w:t>与价值及成长策略相比而言，GARP策略具有如下比较优势：</w:t>
      </w:r>
    </w:p>
    <w:p>
      <w:pPr>
        <w:keepNext w:val="0"/>
        <w:keepLines w:val="0"/>
        <w:widowControl/>
        <w:suppressLineNumbers w:val="0"/>
        <w:ind w:firstLine="560" w:firstLineChars="200"/>
        <w:jc w:val="left"/>
        <w:rPr>
          <w:rFonts w:hint="default"/>
          <w:sz w:val="28"/>
          <w:szCs w:val="28"/>
        </w:rPr>
      </w:pPr>
      <w:r>
        <w:rPr>
          <w:rFonts w:hint="default"/>
          <w:sz w:val="28"/>
          <w:szCs w:val="28"/>
        </w:rPr>
        <w:t>1.有望分享较高的风险调整后收益机会：GARP策略在有效规避价格高估的条件下分享公司高成长潜能释放引致的收益机会。</w:t>
      </w:r>
    </w:p>
    <w:p>
      <w:pPr>
        <w:keepNext w:val="0"/>
        <w:keepLines w:val="0"/>
        <w:widowControl/>
        <w:suppressLineNumbers w:val="0"/>
        <w:jc w:val="left"/>
        <w:rPr>
          <w:rFonts w:hint="default"/>
          <w:sz w:val="28"/>
          <w:szCs w:val="28"/>
        </w:rPr>
      </w:pPr>
    </w:p>
    <w:p>
      <w:pPr>
        <w:keepNext w:val="0"/>
        <w:keepLines w:val="0"/>
        <w:widowControl/>
        <w:suppressLineNumbers w:val="0"/>
        <w:ind w:firstLine="560" w:firstLineChars="200"/>
        <w:jc w:val="left"/>
        <w:rPr>
          <w:rFonts w:hint="default"/>
          <w:sz w:val="28"/>
          <w:szCs w:val="28"/>
        </w:rPr>
      </w:pPr>
      <w:r>
        <w:rPr>
          <w:rFonts w:hint="default"/>
          <w:sz w:val="28"/>
          <w:szCs w:val="28"/>
        </w:rPr>
        <w:t>2.分散化投资有望提高投资安全边际：GARP 策略选取标的股票涉及多个行业、具有不同的市值规模和风格，突显了分散化投资的理念，避免了局部市场剧烈波动对投资的侵蚀。</w:t>
      </w:r>
    </w:p>
    <w:p>
      <w:pPr>
        <w:keepNext w:val="0"/>
        <w:keepLines w:val="0"/>
        <w:widowControl/>
        <w:suppressLineNumbers w:val="0"/>
        <w:jc w:val="left"/>
        <w:rPr>
          <w:rFonts w:hint="default"/>
          <w:sz w:val="28"/>
          <w:szCs w:val="28"/>
        </w:rPr>
      </w:pPr>
    </w:p>
    <w:p>
      <w:pPr>
        <w:keepNext w:val="0"/>
        <w:keepLines w:val="0"/>
        <w:widowControl/>
        <w:suppressLineNumbers w:val="0"/>
        <w:ind w:firstLine="560" w:firstLineChars="200"/>
        <w:jc w:val="left"/>
        <w:rPr>
          <w:rFonts w:hint="default"/>
          <w:sz w:val="28"/>
          <w:szCs w:val="28"/>
        </w:rPr>
      </w:pPr>
      <w:r>
        <w:rPr>
          <w:rFonts w:hint="default"/>
          <w:sz w:val="28"/>
          <w:szCs w:val="28"/>
        </w:rPr>
        <w:t>3.实现价值与成长的平衡：两者的有机结合使得投资者在价值回归和业绩释放的驱动下有望获得超额收益。</w:t>
      </w:r>
    </w:p>
    <w:p>
      <w:pPr>
        <w:keepNext w:val="0"/>
        <w:keepLines w:val="0"/>
        <w:widowControl/>
        <w:suppressLineNumbers w:val="0"/>
        <w:ind w:firstLine="560" w:firstLineChars="200"/>
        <w:jc w:val="left"/>
        <w:rPr>
          <w:sz w:val="28"/>
          <w:szCs w:val="28"/>
        </w:rPr>
      </w:pPr>
      <w:r>
        <w:rPr>
          <w:sz w:val="28"/>
          <w:szCs w:val="28"/>
          <w:lang w:val="en-US" w:eastAsia="zh-CN"/>
        </w:rPr>
        <w:t>GARP策略可能的收益主要来源于两个方面：</w:t>
      </w:r>
      <w:r>
        <w:rPr>
          <w:rFonts w:hint="default"/>
          <w:sz w:val="28"/>
          <w:szCs w:val="28"/>
          <w:lang w:val="en-US" w:eastAsia="zh-CN"/>
        </w:rPr>
        <w:t>一是没有考虑成长潜力下，价值回归可能带来的投资收益；二是成长潜力释放过程中带来的价值增长。</w:t>
      </w:r>
    </w:p>
    <w:p>
      <w:pPr>
        <w:keepNext w:val="0"/>
        <w:keepLines w:val="0"/>
        <w:widowControl/>
        <w:suppressLineNumbers w:val="0"/>
        <w:ind w:firstLine="760" w:firstLineChars="200"/>
        <w:jc w:val="left"/>
        <w:rPr>
          <w:rFonts w:hint="eastAsia" w:ascii="mp-quote" w:hAnsi="mp-quote" w:eastAsia="mp-quote" w:cs="mp-quote"/>
          <w:i w:val="0"/>
          <w:caps w:val="0"/>
          <w:color w:val="333333"/>
          <w:spacing w:val="40"/>
          <w:kern w:val="0"/>
          <w:sz w:val="30"/>
          <w:szCs w:val="30"/>
          <w:bdr w:val="none" w:color="auto" w:sz="0" w:space="0"/>
          <w:shd w:val="clear" w:fill="FFFFFE"/>
          <w:lang w:val="en-US" w:eastAsia="zh-CN" w:bidi="ar"/>
        </w:rPr>
      </w:pPr>
      <w:bookmarkStart w:id="0" w:name="_GoBack"/>
      <w:bookmarkEnd w:id="0"/>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sz w:val="28"/>
          <w:szCs w:val="28"/>
          <w:lang w:val="en-US" w:eastAsia="zh-CN"/>
        </w:rPr>
        <w:t>声明</w:t>
      </w:r>
      <w:r>
        <w:rPr>
          <w:rFonts w:hint="default"/>
          <w:sz w:val="28"/>
          <w:szCs w:val="28"/>
          <w:lang w:eastAsia="zh-CN"/>
        </w:rPr>
        <w:t>：</w:t>
      </w:r>
      <w:r>
        <w:rPr>
          <w:sz w:val="28"/>
          <w:szCs w:val="28"/>
        </w:rPr>
        <w:t>本报告内容及观点仅供参考，不构成任何投资建议，投资者据此操作，风险自担，报告中所引用信息均来自市场公开资料，我公司对所引用信息的准确性和完整性不作任何保证。基金管理人管理的其他基金的业绩不构成基金业绩表现的保证。基金的过往业绩并不预示其未来表现。投资者购买基金前应详细阅读基金合同和招募说明书等法律文件，了解基金的具体情况。基金管理人依照恪尽职守、诚实信用、谨慎勤勉的原则管理和运用基金财产，但不保证基金一定盈利，也不保证最低收益。基金有风险，投资需谨慎。本文版权归兴银基金管理有限责任公司所有，未获得兴银基金管理有限责任公司事先书面授权，任何人不得对本文进行任何形式的发布、复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p-quote">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EB52E"/>
    <w:rsid w:val="2FBFF968"/>
    <w:rsid w:val="5F6F0A70"/>
    <w:rsid w:val="7CEEB52E"/>
    <w:rsid w:val="7D342AEA"/>
    <w:rsid w:val="7EFB3A33"/>
    <w:rsid w:val="8FAB0B57"/>
    <w:rsid w:val="B6E7FC4E"/>
    <w:rsid w:val="BD3E78FF"/>
    <w:rsid w:val="BEBC1125"/>
    <w:rsid w:val="F5F72E46"/>
    <w:rsid w:val="F7EF5A81"/>
    <w:rsid w:val="FFB74F01"/>
    <w:rsid w:val="FFFED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Office_1.9.2.3124_F1E327BC-269C-435d-A152-05C5408002CA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2020-03-30T06:04:00Z</dcterms:created>
  <dc:creator>beita</dc:creator>
  <cp:lastModifiedBy>beita</cp:lastModifiedBy>
  <dcterms:modified xsi:type="dcterms:W3CDTF">2020-03-27T15:22:11Z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2052-1.9.2.3124</vt:lpwstr>
  </property>
</Properties>
</file>