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7D" w:rsidRDefault="0086727D" w:rsidP="0086727D">
      <w:pPr>
        <w:spacing w:line="580" w:lineRule="exact"/>
        <w:jc w:val="center"/>
        <w:rPr>
          <w:rFonts w:ascii="黑体" w:eastAsia="黑体" w:hAnsi="黑体" w:hint="eastAsia"/>
          <w:sz w:val="36"/>
          <w:szCs w:val="36"/>
        </w:rPr>
      </w:pPr>
      <w:r w:rsidRPr="0086727D">
        <w:rPr>
          <w:rFonts w:ascii="黑体" w:eastAsia="黑体" w:hAnsi="黑体" w:hint="eastAsia"/>
          <w:sz w:val="36"/>
          <w:szCs w:val="36"/>
        </w:rPr>
        <w:t>中国人民银行令〔2021〕第3号</w:t>
      </w:r>
    </w:p>
    <w:p w:rsidR="0086727D" w:rsidRPr="0086727D" w:rsidRDefault="0086727D" w:rsidP="0086727D">
      <w:pPr>
        <w:spacing w:line="580" w:lineRule="exact"/>
        <w:jc w:val="center"/>
        <w:rPr>
          <w:rFonts w:ascii="黑体" w:eastAsia="黑体" w:hAnsi="黑体"/>
          <w:sz w:val="36"/>
          <w:szCs w:val="36"/>
        </w:rPr>
      </w:pPr>
      <w:r w:rsidRPr="0086727D">
        <w:rPr>
          <w:rFonts w:ascii="黑体" w:eastAsia="黑体" w:hAnsi="黑体" w:hint="eastAsia"/>
          <w:sz w:val="36"/>
          <w:szCs w:val="36"/>
        </w:rPr>
        <w:t>（金融机构反洗钱和反恐怖融资监督管理办法）</w:t>
      </w:r>
    </w:p>
    <w:p w:rsidR="0086727D" w:rsidRDefault="0086727D" w:rsidP="0086727D">
      <w:pPr>
        <w:spacing w:line="580" w:lineRule="exact"/>
        <w:jc w:val="center"/>
        <w:rPr>
          <w:rFonts w:ascii="仿宋" w:eastAsia="仿宋" w:hAnsi="仿宋" w:hint="eastAsia"/>
          <w:sz w:val="32"/>
          <w:szCs w:val="32"/>
        </w:rPr>
      </w:pPr>
    </w:p>
    <w:p w:rsidR="0086727D" w:rsidRPr="0086727D" w:rsidRDefault="0086727D" w:rsidP="0086727D">
      <w:pPr>
        <w:spacing w:line="580" w:lineRule="exact"/>
        <w:jc w:val="center"/>
        <w:rPr>
          <w:rFonts w:ascii="仿宋" w:eastAsia="仿宋" w:hAnsi="仿宋" w:hint="eastAsia"/>
          <w:sz w:val="32"/>
          <w:szCs w:val="32"/>
        </w:rPr>
      </w:pPr>
      <w:r w:rsidRPr="0086727D">
        <w:rPr>
          <w:rFonts w:ascii="仿宋" w:eastAsia="仿宋" w:hAnsi="仿宋" w:hint="eastAsia"/>
          <w:sz w:val="32"/>
          <w:szCs w:val="32"/>
        </w:rPr>
        <w:t>中国人民银行令〔2021〕第3号</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《金融机构反洗钱和反恐怖融资监督管理办法》已经2021年4月12日中国人民银行2021年第3次行务会议审议通过，现予发布，自2021年8月1日起施行。 </w:t>
      </w:r>
    </w:p>
    <w:p w:rsidR="0086727D" w:rsidRPr="0086727D" w:rsidRDefault="0086727D" w:rsidP="0086727D">
      <w:pPr>
        <w:spacing w:line="580" w:lineRule="exact"/>
        <w:jc w:val="right"/>
        <w:rPr>
          <w:rFonts w:ascii="仿宋" w:eastAsia="仿宋" w:hAnsi="仿宋" w:hint="eastAsia"/>
          <w:sz w:val="32"/>
          <w:szCs w:val="32"/>
        </w:rPr>
      </w:pPr>
      <w:r w:rsidRPr="0086727D">
        <w:rPr>
          <w:rFonts w:ascii="仿宋" w:eastAsia="仿宋" w:hAnsi="仿宋" w:hint="eastAsia"/>
          <w:sz w:val="32"/>
          <w:szCs w:val="32"/>
        </w:rPr>
        <w:t xml:space="preserve">　　行　长 易纲 </w:t>
      </w:r>
    </w:p>
    <w:p w:rsidR="0086727D" w:rsidRPr="0086727D" w:rsidRDefault="0086727D" w:rsidP="0086727D">
      <w:pPr>
        <w:spacing w:line="580" w:lineRule="exact"/>
        <w:jc w:val="right"/>
        <w:rPr>
          <w:rFonts w:ascii="仿宋" w:eastAsia="仿宋" w:hAnsi="仿宋" w:hint="eastAsia"/>
          <w:sz w:val="32"/>
          <w:szCs w:val="32"/>
        </w:rPr>
      </w:pPr>
      <w:r w:rsidRPr="0086727D">
        <w:rPr>
          <w:rFonts w:ascii="仿宋" w:eastAsia="仿宋" w:hAnsi="仿宋" w:hint="eastAsia"/>
          <w:sz w:val="32"/>
          <w:szCs w:val="32"/>
        </w:rPr>
        <w:t xml:space="preserve">　　2021年4月15日 </w:t>
      </w:r>
    </w:p>
    <w:p w:rsidR="0086727D" w:rsidRDefault="0086727D" w:rsidP="0086727D">
      <w:pPr>
        <w:spacing w:line="580" w:lineRule="exact"/>
        <w:rPr>
          <w:rFonts w:ascii="仿宋" w:eastAsia="仿宋" w:hAnsi="仿宋" w:hint="eastAsia"/>
          <w:sz w:val="32"/>
          <w:szCs w:val="32"/>
        </w:rPr>
      </w:pPr>
    </w:p>
    <w:p w:rsidR="0086727D" w:rsidRPr="0086727D" w:rsidRDefault="0086727D" w:rsidP="0086727D">
      <w:pPr>
        <w:spacing w:line="580" w:lineRule="exact"/>
        <w:jc w:val="center"/>
        <w:rPr>
          <w:rFonts w:ascii="黑体" w:eastAsia="黑体" w:hAnsi="黑体" w:hint="eastAsia"/>
          <w:sz w:val="32"/>
          <w:szCs w:val="32"/>
        </w:rPr>
      </w:pPr>
      <w:r w:rsidRPr="0086727D">
        <w:rPr>
          <w:rFonts w:ascii="黑体" w:eastAsia="黑体" w:hAnsi="黑体" w:hint="eastAsia"/>
          <w:sz w:val="32"/>
          <w:szCs w:val="32"/>
        </w:rPr>
        <w:t>金融机构反洗钱和反恐怖融资监督管理办法</w:t>
      </w:r>
    </w:p>
    <w:p w:rsidR="0086727D" w:rsidRPr="0086727D" w:rsidRDefault="0086727D" w:rsidP="0086727D">
      <w:pPr>
        <w:spacing w:line="580" w:lineRule="exact"/>
        <w:jc w:val="center"/>
        <w:rPr>
          <w:rFonts w:ascii="仿宋" w:eastAsia="仿宋" w:hAnsi="仿宋" w:hint="eastAsia"/>
          <w:b/>
          <w:sz w:val="32"/>
          <w:szCs w:val="32"/>
        </w:rPr>
      </w:pPr>
      <w:r w:rsidRPr="0086727D">
        <w:rPr>
          <w:rFonts w:ascii="仿宋" w:eastAsia="仿宋" w:hAnsi="仿宋" w:hint="eastAsia"/>
          <w:b/>
          <w:sz w:val="32"/>
          <w:szCs w:val="32"/>
        </w:rPr>
        <w:t>第一章  总则</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第一条</w:t>
      </w:r>
      <w:r w:rsidRPr="0086727D">
        <w:rPr>
          <w:rFonts w:ascii="仿宋" w:eastAsia="仿宋" w:hAnsi="仿宋" w:hint="eastAsia"/>
          <w:b/>
          <w:sz w:val="32"/>
          <w:szCs w:val="32"/>
        </w:rPr>
        <w:t xml:space="preserve"> </w:t>
      </w:r>
      <w:r w:rsidRPr="0086727D">
        <w:rPr>
          <w:rFonts w:ascii="仿宋" w:eastAsia="仿宋" w:hAnsi="仿宋" w:hint="eastAsia"/>
          <w:sz w:val="32"/>
          <w:szCs w:val="32"/>
        </w:rPr>
        <w:t xml:space="preserve">为了督促金融机构有效履行反洗钱和反恐怖融资义务，规范反洗钱和反恐怖融资监督管理行为，根据《中华人民共和国反洗钱法》《中华人民共和国中国人民银行法》《中华人民共和国反恐怖主义法》等法律法规，制定本办法。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第二条 </w:t>
      </w:r>
      <w:r w:rsidRPr="0086727D">
        <w:rPr>
          <w:rFonts w:ascii="仿宋" w:eastAsia="仿宋" w:hAnsi="仿宋" w:hint="eastAsia"/>
          <w:sz w:val="32"/>
          <w:szCs w:val="32"/>
        </w:rPr>
        <w:t xml:space="preserve">本办法适用于在中华人民共和国境内依法设立的下列金融机构：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（一）开发性金融机构、政策性银行、商业银行、农村合作银行、农村信用合作社、村镇银行；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（二）证券公司、期货公司、证券投资基金管理公司；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（三）保险公司、保险资产管理公司；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（四）信托公司、金融资产管理公司、企业集团财务公司、金融租赁公司、汽车金融公司、消费金融公司、货币经</w:t>
      </w:r>
      <w:r w:rsidRPr="0086727D">
        <w:rPr>
          <w:rFonts w:ascii="仿宋" w:eastAsia="仿宋" w:hAnsi="仿宋" w:hint="eastAsia"/>
          <w:sz w:val="32"/>
          <w:szCs w:val="32"/>
        </w:rPr>
        <w:lastRenderedPageBreak/>
        <w:t xml:space="preserve">纪公司、贷款公司、银行理财子公司；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（五）中国人民银行确定并公布应当履行反洗钱和反恐怖融资义务的其他金融机构。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非银行支付机构、银行卡清算机构、资金清算中心、网络小额贷款公司以及从事汇兑业务、基金销售业务、保险专业代理和保险经纪业务的机构，适用本办法关于金融机构的监督管理规定。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中国人民银行及其分支机构依法对金融机构反洗钱和反恐怖融资工作进行监督管理。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第四条</w:t>
      </w:r>
      <w:r>
        <w:rPr>
          <w:rFonts w:ascii="仿宋" w:eastAsia="仿宋" w:hAnsi="仿宋" w:hint="eastAsia"/>
          <w:sz w:val="32"/>
          <w:szCs w:val="32"/>
        </w:rPr>
        <w:t xml:space="preserve"> </w:t>
      </w:r>
      <w:r w:rsidRPr="0086727D">
        <w:rPr>
          <w:rFonts w:ascii="仿宋" w:eastAsia="仿宋" w:hAnsi="仿宋" w:hint="eastAsia"/>
          <w:sz w:val="32"/>
          <w:szCs w:val="32"/>
        </w:rPr>
        <w:t xml:space="preserve">金融机构应当按照规定建立健全反洗钱和反恐怖融资内部控制制度，评估洗钱和恐怖融资风险，建立与风险状况和经营规模相适应的风险管理机制，搭建反洗钱信息系统，设立或者指定部门并配备相应人员，有效履行反洗钱和反恐怖融资义务。 </w:t>
      </w:r>
    </w:p>
    <w:p w:rsidR="0086727D" w:rsidRDefault="0086727D" w:rsidP="0086727D">
      <w:pPr>
        <w:spacing w:line="580" w:lineRule="exact"/>
        <w:ind w:firstLine="645"/>
        <w:rPr>
          <w:rFonts w:ascii="仿宋" w:eastAsia="仿宋" w:hAnsi="仿宋" w:hint="eastAsia"/>
          <w:sz w:val="32"/>
          <w:szCs w:val="32"/>
        </w:rPr>
      </w:pPr>
      <w:r w:rsidRPr="0086727D">
        <w:rPr>
          <w:rFonts w:ascii="仿宋" w:eastAsia="仿宋" w:hAnsi="仿宋" w:hint="eastAsia"/>
          <w:b/>
          <w:sz w:val="32"/>
          <w:szCs w:val="32"/>
        </w:rPr>
        <w:t xml:space="preserve">第五条 </w:t>
      </w:r>
      <w:r w:rsidRPr="0086727D">
        <w:rPr>
          <w:rFonts w:ascii="仿宋" w:eastAsia="仿宋" w:hAnsi="仿宋" w:hint="eastAsia"/>
          <w:sz w:val="32"/>
          <w:szCs w:val="32"/>
        </w:rPr>
        <w:t>对依法履行反洗钱和反恐怖融资职责或者义务获得的客户身份资料和交易信息，应当予以保密，非依法律规定不得对外提供。</w:t>
      </w:r>
    </w:p>
    <w:p w:rsidR="0086727D" w:rsidRPr="0086727D" w:rsidRDefault="0086727D" w:rsidP="0086727D">
      <w:pPr>
        <w:spacing w:line="580" w:lineRule="exact"/>
        <w:ind w:firstLine="645"/>
        <w:rPr>
          <w:rFonts w:ascii="仿宋" w:eastAsia="仿宋" w:hAnsi="仿宋" w:hint="eastAsia"/>
          <w:sz w:val="32"/>
          <w:szCs w:val="32"/>
        </w:rPr>
      </w:pPr>
      <w:r w:rsidRPr="0086727D">
        <w:rPr>
          <w:rFonts w:ascii="仿宋" w:eastAsia="仿宋" w:hAnsi="仿宋" w:hint="eastAsia"/>
          <w:sz w:val="32"/>
          <w:szCs w:val="32"/>
        </w:rPr>
        <w:t xml:space="preserve"> </w:t>
      </w:r>
    </w:p>
    <w:p w:rsidR="0086727D" w:rsidRPr="0086727D" w:rsidRDefault="0086727D" w:rsidP="0086727D">
      <w:pPr>
        <w:spacing w:line="580" w:lineRule="exact"/>
        <w:jc w:val="center"/>
        <w:rPr>
          <w:rFonts w:ascii="仿宋" w:eastAsia="仿宋" w:hAnsi="仿宋" w:hint="eastAsia"/>
          <w:b/>
          <w:sz w:val="32"/>
          <w:szCs w:val="32"/>
        </w:rPr>
      </w:pPr>
      <w:r w:rsidRPr="0086727D">
        <w:rPr>
          <w:rFonts w:ascii="仿宋" w:eastAsia="仿宋" w:hAnsi="仿宋" w:hint="eastAsia"/>
          <w:b/>
          <w:sz w:val="32"/>
          <w:szCs w:val="32"/>
        </w:rPr>
        <w:t>第二章</w:t>
      </w:r>
      <w:r>
        <w:rPr>
          <w:rFonts w:ascii="仿宋" w:eastAsia="仿宋" w:hAnsi="仿宋" w:hint="eastAsia"/>
          <w:b/>
          <w:sz w:val="32"/>
          <w:szCs w:val="32"/>
        </w:rPr>
        <w:t xml:space="preserve"> </w:t>
      </w:r>
      <w:r w:rsidRPr="0086727D">
        <w:rPr>
          <w:rFonts w:ascii="仿宋" w:eastAsia="仿宋" w:hAnsi="仿宋" w:hint="eastAsia"/>
          <w:b/>
          <w:sz w:val="32"/>
          <w:szCs w:val="32"/>
        </w:rPr>
        <w:t>金融机构反洗钱和反恐怖融资内部控制和风险管理</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b/>
          <w:sz w:val="32"/>
          <w:szCs w:val="32"/>
        </w:rPr>
        <w:t xml:space="preserve">　　第六条 </w:t>
      </w:r>
      <w:r w:rsidRPr="0086727D">
        <w:rPr>
          <w:rFonts w:ascii="仿宋" w:eastAsia="仿宋" w:hAnsi="仿宋" w:hint="eastAsia"/>
          <w:sz w:val="32"/>
          <w:szCs w:val="32"/>
        </w:rPr>
        <w:t xml:space="preserve">金融机构应当按照规定，结合本机构经营规模以及洗钱和恐怖融资风险状况，建立健全反洗钱和反恐怖融资内部控制制度。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第七条</w:t>
      </w:r>
      <w:r>
        <w:rPr>
          <w:rFonts w:ascii="仿宋" w:eastAsia="仿宋" w:hAnsi="仿宋" w:hint="eastAsia"/>
          <w:sz w:val="32"/>
          <w:szCs w:val="32"/>
        </w:rPr>
        <w:t xml:space="preserve"> </w:t>
      </w:r>
      <w:r w:rsidRPr="0086727D">
        <w:rPr>
          <w:rFonts w:ascii="仿宋" w:eastAsia="仿宋" w:hAnsi="仿宋" w:hint="eastAsia"/>
          <w:sz w:val="32"/>
          <w:szCs w:val="32"/>
        </w:rPr>
        <w:t>金融机构应当在总部层面建立洗钱和恐怖融资风险自评估制度，定期或不定期评估洗钱和恐怖融资风险，</w:t>
      </w:r>
      <w:r w:rsidRPr="0086727D">
        <w:rPr>
          <w:rFonts w:ascii="仿宋" w:eastAsia="仿宋" w:hAnsi="仿宋" w:hint="eastAsia"/>
          <w:sz w:val="32"/>
          <w:szCs w:val="32"/>
        </w:rPr>
        <w:lastRenderedPageBreak/>
        <w:t xml:space="preserve">经董事会或者高级管理层审定之日起10个工作日内，将自评估情况报送中国人民银行或者所在地中国人民银行分支机构。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洗钱和恐怖融资风险自评估应当与本机构经营规模和业务特征相适应，充分考虑客户、地域、业务、交易渠道等方面的风险要素类型及其变化情况，并吸收运用国家洗钱和恐怖融资风险评估报告、监管部门及自律组织的指引等。金融机构在采用新技术、开办新业务或者提供新产品、新服务前，或者其面临的洗钱或者恐怖融资风险发生显著变化时，应当进行洗钱和恐怖融资风险评估。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金融机构应当定期审查和不断优化洗钱和恐怖融资风险评估工作流程和指标体系。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第八条</w:t>
      </w:r>
      <w:r>
        <w:rPr>
          <w:rFonts w:ascii="仿宋" w:eastAsia="仿宋" w:hAnsi="仿宋" w:hint="eastAsia"/>
          <w:sz w:val="32"/>
          <w:szCs w:val="32"/>
        </w:rPr>
        <w:t xml:space="preserve"> </w:t>
      </w:r>
      <w:r w:rsidRPr="0086727D">
        <w:rPr>
          <w:rFonts w:ascii="仿宋" w:eastAsia="仿宋" w:hAnsi="仿宋" w:hint="eastAsia"/>
          <w:sz w:val="32"/>
          <w:szCs w:val="32"/>
        </w:rPr>
        <w:t xml:space="preserve">金融机构应当根据本机构经营规模和已识别出的洗钱和恐怖融资风险状况，经董事会或者高级管理层批准，制定相应的风险管理政策，并根据风险状况变化和控制措施执行情况及时调整。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将洗钱和恐怖融资风险管理纳入本机构全面风险管理体系，覆盖各项业务活动和管理流程；针对识别的较高风险情形，应当采取强化措施，管理和降低风险；针对识别的较低风险情形，可以采取简化措施；超出金融机构风险控制能力的，不得与客户建立业务关系或者进行交易，已经建立业务关系的，应当中止交易并考虑提交可疑交易报告，必要时终止业务关系。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第九条</w:t>
      </w:r>
      <w:r>
        <w:rPr>
          <w:rFonts w:ascii="仿宋" w:eastAsia="仿宋" w:hAnsi="仿宋" w:hint="eastAsia"/>
          <w:sz w:val="32"/>
          <w:szCs w:val="32"/>
        </w:rPr>
        <w:t xml:space="preserve"> </w:t>
      </w:r>
      <w:r w:rsidRPr="0086727D">
        <w:rPr>
          <w:rFonts w:ascii="仿宋" w:eastAsia="仿宋" w:hAnsi="仿宋" w:hint="eastAsia"/>
          <w:sz w:val="32"/>
          <w:szCs w:val="32"/>
        </w:rPr>
        <w:t>金融机构应当设立专门部门或者指定内设部门</w:t>
      </w:r>
      <w:r w:rsidRPr="0086727D">
        <w:rPr>
          <w:rFonts w:ascii="仿宋" w:eastAsia="仿宋" w:hAnsi="仿宋" w:hint="eastAsia"/>
          <w:sz w:val="32"/>
          <w:szCs w:val="32"/>
        </w:rPr>
        <w:lastRenderedPageBreak/>
        <w:t xml:space="preserve">牵头开展反洗钱和反恐怖融资管理工作。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金融机构应当明确董事会、监事会、高级管理层和相关部门的反洗钱和反恐怖融资职责，建立相应的绩效考核和奖惩机制。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金融机构应当任命或者授权一名高级管理人员牵头负责反洗钱和反恐怖融资管理工作，并采取合理措施确保其独立开展工作以及充分获取履职所需权限和资源。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根据本机构经营规模、洗钱和恐怖融资风险状况和业务发展趋势配备充足的反洗钱岗位人员，采取适当措施确保反洗钱岗位人员的资质、经验、专业素质及职业道德符合要求，制定持续的反洗钱和反恐怖融资培训计划。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第十条</w:t>
      </w:r>
      <w:r>
        <w:rPr>
          <w:rFonts w:ascii="仿宋" w:eastAsia="仿宋" w:hAnsi="仿宋" w:hint="eastAsia"/>
          <w:sz w:val="32"/>
          <w:szCs w:val="32"/>
        </w:rPr>
        <w:t xml:space="preserve"> </w:t>
      </w:r>
      <w:r w:rsidRPr="0086727D">
        <w:rPr>
          <w:rFonts w:ascii="仿宋" w:eastAsia="仿宋" w:hAnsi="仿宋" w:hint="eastAsia"/>
          <w:sz w:val="32"/>
          <w:szCs w:val="32"/>
        </w:rPr>
        <w:t xml:space="preserve">金融机构应当根据反洗钱和反恐怖融资工作需要，建立和完善相关信息系统，并根据风险状况、反洗钱和反恐怖融资工作需求变化及时优化升级。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第十一条</w:t>
      </w:r>
      <w:r>
        <w:rPr>
          <w:rFonts w:ascii="仿宋" w:eastAsia="仿宋" w:hAnsi="仿宋" w:hint="eastAsia"/>
          <w:sz w:val="32"/>
          <w:szCs w:val="32"/>
        </w:rPr>
        <w:t xml:space="preserve"> </w:t>
      </w:r>
      <w:r w:rsidRPr="0086727D">
        <w:rPr>
          <w:rFonts w:ascii="仿宋" w:eastAsia="仿宋" w:hAnsi="仿宋" w:hint="eastAsia"/>
          <w:sz w:val="32"/>
          <w:szCs w:val="32"/>
        </w:rPr>
        <w:t xml:space="preserve">金融机构应当建立反洗钱和反恐怖融资审计机制，通过内部审计或者独立审计等方式，审查反洗钱和反恐怖融资内部控制制度制定和执行情况。审计应当遵循独立性原则，全面覆盖境内外分支机构、控股附属机构，审计的范围、方法和频率应当与本机构经营规模及洗钱和恐怖融资风险状况相适应，审计报告应当向董事会或者其授权的专门委员会提交。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第十二条 </w:t>
      </w:r>
      <w:r w:rsidRPr="0086727D">
        <w:rPr>
          <w:rFonts w:ascii="仿宋" w:eastAsia="仿宋" w:hAnsi="仿宋" w:hint="eastAsia"/>
          <w:sz w:val="32"/>
          <w:szCs w:val="32"/>
        </w:rPr>
        <w:t>金融机构应当在总部层面制定统一的反洗钱和反恐怖融资机制安排，包括为开展客户尽职调查、洗钱和恐怖融资风险管理，共享反洗钱和反恐怖融资信息的制度和</w:t>
      </w:r>
      <w:r w:rsidRPr="0086727D">
        <w:rPr>
          <w:rFonts w:ascii="仿宋" w:eastAsia="仿宋" w:hAnsi="仿宋" w:hint="eastAsia"/>
          <w:sz w:val="32"/>
          <w:szCs w:val="32"/>
        </w:rPr>
        <w:lastRenderedPageBreak/>
        <w:t xml:space="preserve">程序，并确保其所有分支机构和控股附属机构结合自身业务特点有效执行。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金融机构在共享和使用反洗钱和反恐怖融资信息方面应当依法提供信息并防止信息泄露。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第十三条</w:t>
      </w:r>
      <w:r>
        <w:rPr>
          <w:rFonts w:ascii="仿宋" w:eastAsia="仿宋" w:hAnsi="仿宋" w:hint="eastAsia"/>
          <w:sz w:val="32"/>
          <w:szCs w:val="32"/>
        </w:rPr>
        <w:t xml:space="preserve"> </w:t>
      </w:r>
      <w:r w:rsidRPr="0086727D">
        <w:rPr>
          <w:rFonts w:ascii="仿宋" w:eastAsia="仿宋" w:hAnsi="仿宋" w:hint="eastAsia"/>
          <w:sz w:val="32"/>
          <w:szCs w:val="32"/>
        </w:rPr>
        <w:t xml:space="preserve">金融机构应当要求其境外分支机构和控股附属机构在驻在国家（地区）法律规定允许的范围内，执行本办法；驻在国家（地区）有更严格要求的，遵守其规定。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如果本办法的要求比驻在国家（地区）的相关规定更为严格，但驻在国家（地区）法律禁止或者限制境外分支机构和控股附属机构实施本办法的，金融机构应当采取适当的补充措施应对洗钱和恐怖融资风险，并向中国人民银行报告。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第十四条 </w:t>
      </w:r>
      <w:r w:rsidRPr="0086727D">
        <w:rPr>
          <w:rFonts w:ascii="仿宋" w:eastAsia="仿宋" w:hAnsi="仿宋" w:hint="eastAsia"/>
          <w:sz w:val="32"/>
          <w:szCs w:val="32"/>
        </w:rPr>
        <w:t xml:space="preserve">金融机构应当按照规定，结合内部控制制度和风险管理机制的相关要求，履行客户尽职调查、客户身份资料和交易记录保存、大额交易和可疑交易报告等义务。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第十五条 </w:t>
      </w:r>
      <w:r w:rsidRPr="0086727D">
        <w:rPr>
          <w:rFonts w:ascii="仿宋" w:eastAsia="仿宋" w:hAnsi="仿宋" w:hint="eastAsia"/>
          <w:sz w:val="32"/>
          <w:szCs w:val="32"/>
        </w:rPr>
        <w:t xml:space="preserve">金融机构应当按照中国人民银行的规定报送反洗钱和反恐怖融资工作信息。金融机构应当对相关信息的真实性、完整性、有效性负责。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第十六条</w:t>
      </w:r>
      <w:r>
        <w:rPr>
          <w:rFonts w:ascii="仿宋" w:eastAsia="仿宋" w:hAnsi="仿宋" w:hint="eastAsia"/>
          <w:sz w:val="32"/>
          <w:szCs w:val="32"/>
        </w:rPr>
        <w:t xml:space="preserve"> </w:t>
      </w:r>
      <w:r w:rsidRPr="0086727D">
        <w:rPr>
          <w:rFonts w:ascii="仿宋" w:eastAsia="仿宋" w:hAnsi="仿宋" w:hint="eastAsia"/>
          <w:sz w:val="32"/>
          <w:szCs w:val="32"/>
        </w:rPr>
        <w:t xml:space="preserve">在境外设有分支机构或控股附属机构的，境内金融机构总部应当按年度向中国人民银行或者所在地中国人民银行分支机构报告境外分支机构或控股附属机构接受驻在国家（地区）反洗钱和反恐怖融资监管情况。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第十七条</w:t>
      </w:r>
      <w:r>
        <w:rPr>
          <w:rFonts w:ascii="仿宋" w:eastAsia="仿宋" w:hAnsi="仿宋" w:hint="eastAsia"/>
          <w:sz w:val="32"/>
          <w:szCs w:val="32"/>
        </w:rPr>
        <w:t xml:space="preserve"> </w:t>
      </w:r>
      <w:r w:rsidRPr="0086727D">
        <w:rPr>
          <w:rFonts w:ascii="仿宋" w:eastAsia="仿宋" w:hAnsi="仿宋" w:hint="eastAsia"/>
          <w:sz w:val="32"/>
          <w:szCs w:val="32"/>
        </w:rPr>
        <w:t xml:space="preserve">发生下列情况的，金融机构应当按照规定及时向中国人民银行或者所在地中国人民银行分支机构报告：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（一）制定或者修订主要反洗钱和反恐怖融资内部控制</w:t>
      </w:r>
      <w:r w:rsidRPr="0086727D">
        <w:rPr>
          <w:rFonts w:ascii="仿宋" w:eastAsia="仿宋" w:hAnsi="仿宋" w:hint="eastAsia"/>
          <w:sz w:val="32"/>
          <w:szCs w:val="32"/>
        </w:rPr>
        <w:lastRenderedPageBreak/>
        <w:t xml:space="preserve">制度的；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（二）牵头负责反洗钱和反恐怖融资工作的高级管理人员、牵头管理部门或者部门主要负责人调整的；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（三）发生涉及反洗钱和反恐怖融资工作的重大风险事项的；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（四）境外分支机构和控股附属机构受到当地监管当局或者司法部门开展的与反洗钱和反恐怖融资相关的执法检查、行政处罚、刑事调查或者发生其他重大风险事件的； </w:t>
      </w:r>
    </w:p>
    <w:p w:rsidR="0086727D" w:rsidRDefault="0086727D" w:rsidP="0086727D">
      <w:pPr>
        <w:spacing w:line="580" w:lineRule="exact"/>
        <w:ind w:firstLine="630"/>
        <w:rPr>
          <w:rFonts w:ascii="仿宋" w:eastAsia="仿宋" w:hAnsi="仿宋" w:hint="eastAsia"/>
          <w:sz w:val="32"/>
          <w:szCs w:val="32"/>
        </w:rPr>
      </w:pPr>
      <w:r w:rsidRPr="0086727D">
        <w:rPr>
          <w:rFonts w:ascii="仿宋" w:eastAsia="仿宋" w:hAnsi="仿宋" w:hint="eastAsia"/>
          <w:sz w:val="32"/>
          <w:szCs w:val="32"/>
        </w:rPr>
        <w:t>（五）中国人民银行要求报告的其他事项。</w:t>
      </w:r>
    </w:p>
    <w:p w:rsidR="0086727D" w:rsidRPr="0086727D" w:rsidRDefault="0086727D" w:rsidP="0086727D">
      <w:pPr>
        <w:spacing w:line="580" w:lineRule="exact"/>
        <w:ind w:firstLine="630"/>
        <w:rPr>
          <w:rFonts w:ascii="仿宋" w:eastAsia="仿宋" w:hAnsi="仿宋" w:hint="eastAsia"/>
          <w:sz w:val="32"/>
          <w:szCs w:val="32"/>
        </w:rPr>
      </w:pPr>
    </w:p>
    <w:p w:rsidR="0086727D" w:rsidRPr="0086727D" w:rsidRDefault="0086727D" w:rsidP="0086727D">
      <w:pPr>
        <w:spacing w:line="580" w:lineRule="exact"/>
        <w:jc w:val="center"/>
        <w:rPr>
          <w:rFonts w:ascii="仿宋" w:eastAsia="仿宋" w:hAnsi="仿宋" w:hint="eastAsia"/>
          <w:b/>
          <w:sz w:val="32"/>
          <w:szCs w:val="32"/>
        </w:rPr>
      </w:pPr>
      <w:r w:rsidRPr="0086727D">
        <w:rPr>
          <w:rFonts w:ascii="仿宋" w:eastAsia="仿宋" w:hAnsi="仿宋" w:hint="eastAsia"/>
          <w:b/>
          <w:sz w:val="32"/>
          <w:szCs w:val="32"/>
        </w:rPr>
        <w:t>第三章</w:t>
      </w:r>
      <w:r>
        <w:rPr>
          <w:rFonts w:ascii="仿宋" w:eastAsia="仿宋" w:hAnsi="仿宋" w:hint="eastAsia"/>
          <w:b/>
          <w:sz w:val="32"/>
          <w:szCs w:val="32"/>
        </w:rPr>
        <w:t xml:space="preserve"> </w:t>
      </w:r>
      <w:r w:rsidRPr="0086727D">
        <w:rPr>
          <w:rFonts w:ascii="仿宋" w:eastAsia="仿宋" w:hAnsi="仿宋" w:hint="eastAsia"/>
          <w:b/>
          <w:sz w:val="32"/>
          <w:szCs w:val="32"/>
        </w:rPr>
        <w:t>反洗钱和反恐怖融资监督管理</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b/>
          <w:sz w:val="32"/>
          <w:szCs w:val="32"/>
        </w:rPr>
        <w:t xml:space="preserve">　　第十八条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中国人民银行及其分支机构应当遵循风险为本和法人监管原则，合理运用各类监管方法，实现对不同类型金融机构的有效监管。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中国人民银行及其分支机构可以向国务院金融监督管理机构或者其派出机构通报对金融机构反洗钱和反恐怖融资监管情况。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第十九条</w:t>
      </w:r>
      <w:r>
        <w:rPr>
          <w:rFonts w:ascii="仿宋" w:eastAsia="仿宋" w:hAnsi="仿宋" w:hint="eastAsia"/>
          <w:sz w:val="32"/>
          <w:szCs w:val="32"/>
        </w:rPr>
        <w:t xml:space="preserve"> </w:t>
      </w:r>
      <w:r w:rsidRPr="0086727D">
        <w:rPr>
          <w:rFonts w:ascii="仿宋" w:eastAsia="仿宋" w:hAnsi="仿宋" w:hint="eastAsia"/>
          <w:sz w:val="32"/>
          <w:szCs w:val="32"/>
        </w:rPr>
        <w:t xml:space="preserve">根据履行反洗钱和反恐怖融资职责的需要，中国人民银行及其分支机构可以按照规定程序，对金融机构履行反洗钱和反恐怖融资义务的情况开展执法检查。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中国人民银行及其分支机构可以对其下级机构负责监督管理的金融机构进行反洗钱和反恐怖融资执法检查，可以授权下级机构检查由上级机构负责监督管理的金融机构。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第二十条</w:t>
      </w:r>
      <w:r>
        <w:rPr>
          <w:rFonts w:ascii="仿宋" w:eastAsia="仿宋" w:hAnsi="仿宋" w:hint="eastAsia"/>
          <w:sz w:val="32"/>
          <w:szCs w:val="32"/>
        </w:rPr>
        <w:t xml:space="preserve"> </w:t>
      </w:r>
      <w:r w:rsidRPr="0086727D">
        <w:rPr>
          <w:rFonts w:ascii="仿宋" w:eastAsia="仿宋" w:hAnsi="仿宋" w:hint="eastAsia"/>
          <w:sz w:val="32"/>
          <w:szCs w:val="32"/>
        </w:rPr>
        <w:t>中国人民银行及其分支机构开展反洗钱和反</w:t>
      </w:r>
      <w:r w:rsidRPr="0086727D">
        <w:rPr>
          <w:rFonts w:ascii="仿宋" w:eastAsia="仿宋" w:hAnsi="仿宋" w:hint="eastAsia"/>
          <w:sz w:val="32"/>
          <w:szCs w:val="32"/>
        </w:rPr>
        <w:lastRenderedPageBreak/>
        <w:t xml:space="preserve">恐怖融资执法检查，应当依据现行反洗钱和反恐怖融资规定，按照中国人民银行执法检查有关程序规定组织实施。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第二十一条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中国人民银行及其分支机构应当根据执法检查有关程序规定，规范有效地开展执法检查工作，重点加强对以下机构的监督管理：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（一）涉及洗钱和恐怖融资案件的机构；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（二）洗钱和恐怖融资风险较高的机构；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（三）通过日常监管、受理举报投诉等方式，发现存在重大违法违规线索的机构；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（四）其他应当重点监管的机构。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第二十二条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进入金融机构现场开展反洗钱和反恐怖融资检查的，按照规定可以询问金融机构工作人员，要求其对监管事项作出说明；查阅、复制文件、资料，对可能被转移、隐匿或者销毁的文件、资料予以封存；查验金融机构运用信息化、数字化管理业务数据和进行洗钱和恐怖融资风险管理的系统。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第二十三条 </w:t>
      </w:r>
      <w:r w:rsidRPr="0086727D">
        <w:rPr>
          <w:rFonts w:ascii="仿宋" w:eastAsia="仿宋" w:hAnsi="仿宋" w:hint="eastAsia"/>
          <w:sz w:val="32"/>
          <w:szCs w:val="32"/>
        </w:rPr>
        <w:t xml:space="preserve">中国人民银行及其分支机构应当根据金融机构报送的反洗钱和反恐怖融资工作信息，结合日常监管中获得的其他信息，对金融机构反洗钱和反恐怖融资制度的建立健全情况和执行情况进行评价。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第二十四条</w:t>
      </w:r>
      <w:r>
        <w:rPr>
          <w:rFonts w:ascii="仿宋" w:eastAsia="仿宋" w:hAnsi="仿宋" w:hint="eastAsia"/>
          <w:sz w:val="32"/>
          <w:szCs w:val="32"/>
        </w:rPr>
        <w:t xml:space="preserve"> </w:t>
      </w:r>
      <w:r w:rsidRPr="0086727D">
        <w:rPr>
          <w:rFonts w:ascii="仿宋" w:eastAsia="仿宋" w:hAnsi="仿宋" w:hint="eastAsia"/>
          <w:sz w:val="32"/>
          <w:szCs w:val="32"/>
        </w:rPr>
        <w:t>为了有效实施风险为本监管，中国人民银行及其分支机构应当结合国家、地区、行业的洗钱和恐怖融资风险评估情况，在采集金融机构反洗钱和反恐怖融资信息的基础上，对金融机构开展风险评估，及时、准确掌握金融</w:t>
      </w:r>
      <w:r w:rsidRPr="0086727D">
        <w:rPr>
          <w:rFonts w:ascii="仿宋" w:eastAsia="仿宋" w:hAnsi="仿宋" w:hint="eastAsia"/>
          <w:sz w:val="32"/>
          <w:szCs w:val="32"/>
        </w:rPr>
        <w:lastRenderedPageBreak/>
        <w:t xml:space="preserve">机构洗钱和恐怖融资风险状况。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　第二十五条</w:t>
      </w:r>
      <w:r>
        <w:rPr>
          <w:rFonts w:ascii="仿宋" w:eastAsia="仿宋" w:hAnsi="仿宋" w:hint="eastAsia"/>
          <w:sz w:val="32"/>
          <w:szCs w:val="32"/>
        </w:rPr>
        <w:t xml:space="preserve"> </w:t>
      </w:r>
      <w:r w:rsidRPr="0086727D">
        <w:rPr>
          <w:rFonts w:ascii="仿宋" w:eastAsia="仿宋" w:hAnsi="仿宋" w:hint="eastAsia"/>
          <w:sz w:val="32"/>
          <w:szCs w:val="32"/>
        </w:rPr>
        <w:t xml:space="preserve">为了解金融机构洗钱和恐怖融资风险状况，中国人民银行及其分支机构可以对金融机构开展洗钱和恐怖融资风险现场评估。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中国人民银行及其分支机构开展现场风险评估应当填制《反洗钱监管审批表》（附1）及《反洗钱监管通知书》（附2），经本行（营业管理部）行长（主任）或者分管副行长（副主任）批准后，至少提前5个工作日将《反洗钱监管通知书》送达被评估的金融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中国人民银行及其分支机构可以要求被评估的金融机构提供必要的资料数据，也可以现场采集评估需要的信息。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在开展现场风险评估时，中国人民银行及其分支机构的反洗钱工作人员不得少于2人，并出示合法证件。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现场风险评估结束后，中国人民银行及其分支机构应当制发《反洗钱监管意见书》（附3），将风险评估结论和发现的问题反馈被评估的金融机构。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第二十六条</w:t>
      </w:r>
      <w:r>
        <w:rPr>
          <w:rFonts w:ascii="仿宋" w:eastAsia="仿宋" w:hAnsi="仿宋" w:hint="eastAsia"/>
          <w:sz w:val="32"/>
          <w:szCs w:val="32"/>
        </w:rPr>
        <w:t xml:space="preserve"> </w:t>
      </w:r>
      <w:r w:rsidRPr="0086727D">
        <w:rPr>
          <w:rFonts w:ascii="仿宋" w:eastAsia="仿宋" w:hAnsi="仿宋" w:hint="eastAsia"/>
          <w:sz w:val="32"/>
          <w:szCs w:val="32"/>
        </w:rPr>
        <w:t xml:space="preserve">根据金融机构合规情况和风险状况，中国人民银行及其分支机构可以采取监管提示、约见谈话、监管走访等措施。在监管过程中，发现金融机构存在较高洗钱和恐怖融资风险或者涉嫌违反反洗钱和反恐怖融资规定的，中国人民银行及其分支机构应当及时开展执法检查。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第二十七条</w:t>
      </w:r>
      <w:r>
        <w:rPr>
          <w:rFonts w:ascii="仿宋" w:eastAsia="仿宋" w:hAnsi="仿宋" w:hint="eastAsia"/>
          <w:sz w:val="32"/>
          <w:szCs w:val="32"/>
        </w:rPr>
        <w:t xml:space="preserve"> </w:t>
      </w:r>
      <w:r w:rsidRPr="0086727D">
        <w:rPr>
          <w:rFonts w:ascii="仿宋" w:eastAsia="仿宋" w:hAnsi="仿宋" w:hint="eastAsia"/>
          <w:sz w:val="32"/>
          <w:szCs w:val="32"/>
        </w:rPr>
        <w:t>金融机构存在洗钱和恐怖融资风险隐患，或者反洗钱和反恐怖融资工作存在明显漏洞，需要提示金融机构关注的，经中国人民银行或其分支机构反洗钱部门负责</w:t>
      </w:r>
      <w:r w:rsidRPr="0086727D">
        <w:rPr>
          <w:rFonts w:ascii="仿宋" w:eastAsia="仿宋" w:hAnsi="仿宋" w:hint="eastAsia"/>
          <w:sz w:val="32"/>
          <w:szCs w:val="32"/>
        </w:rPr>
        <w:lastRenderedPageBreak/>
        <w:t xml:space="preserve">人批准，可以向该金融机构发出《反洗钱监管提示函》（附4），要求其采取必要的管控措施，督促其整改。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金融机构应当自收到《反洗钱监管提示函》之日起20个工作日内，经本机构分管反洗钱和反恐怖融资工作负责人签批后作出书面答复；不能及时作出答复的，经中国人民银行或者其所在地中国人民银行分支机构同意后，在延长时限内作出答复。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第二十八条</w:t>
      </w:r>
      <w:r>
        <w:rPr>
          <w:rFonts w:ascii="仿宋" w:eastAsia="仿宋" w:hAnsi="仿宋" w:hint="eastAsia"/>
          <w:sz w:val="32"/>
          <w:szCs w:val="32"/>
        </w:rPr>
        <w:t xml:space="preserve"> </w:t>
      </w:r>
      <w:r w:rsidRPr="0086727D">
        <w:rPr>
          <w:rFonts w:ascii="仿宋" w:eastAsia="仿宋" w:hAnsi="仿宋" w:hint="eastAsia"/>
          <w:sz w:val="32"/>
          <w:szCs w:val="32"/>
        </w:rPr>
        <w:t xml:space="preserve">根据履行反洗钱和反恐怖融资职责的需要，针对金融机构反洗钱和反恐怖融义务履行不到位、突出风险事件等重要问题，中国人民银行及其分支机构可以约见金融机构董事、监事、高级管理人员或者部门负责人进行谈话。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第二十九条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进行约见谈话前，应当填制《反洗钱监管审批表》及《反洗钱监管通知书》。约见金融机构董事、监事、高级管理人员，应当经本行（营业管理部）行长（主任）或者分管副行长（副主任）批准；约见金融机构部门负责人的，应当经本行（营业管理部）反洗钱部门负责人批准。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《反洗钱监管通知书》应当至少提前2个工作日送达被谈话机构。情况特殊需要立即进行约见谈话的，应当在约见谈话现场送达《反洗钱监管通知书》。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约见谈话时，中国人民银行及其分支机构反洗钱工作人员不得少于2人。谈话结束后，应当填写《反洗钱约谈记录》（附5）并经被谈话人签字确认。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第三十条</w:t>
      </w:r>
      <w:r>
        <w:rPr>
          <w:rFonts w:ascii="仿宋" w:eastAsia="仿宋" w:hAnsi="仿宋" w:hint="eastAsia"/>
          <w:sz w:val="32"/>
          <w:szCs w:val="32"/>
        </w:rPr>
        <w:t xml:space="preserve"> </w:t>
      </w:r>
      <w:r w:rsidRPr="0086727D">
        <w:rPr>
          <w:rFonts w:ascii="仿宋" w:eastAsia="仿宋" w:hAnsi="仿宋" w:hint="eastAsia"/>
          <w:sz w:val="32"/>
          <w:szCs w:val="32"/>
        </w:rPr>
        <w:t>为了解、核实金融机构反洗钱和反恐怖融资</w:t>
      </w:r>
      <w:r w:rsidRPr="0086727D">
        <w:rPr>
          <w:rFonts w:ascii="仿宋" w:eastAsia="仿宋" w:hAnsi="仿宋" w:hint="eastAsia"/>
          <w:sz w:val="32"/>
          <w:szCs w:val="32"/>
        </w:rPr>
        <w:lastRenderedPageBreak/>
        <w:t xml:space="preserve">政策执行情况以及监管意见整改情况，中国人民银行及其分支机构可以对金融机构开展监管走访。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第三十一条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中国人民银行及其分支机构进行监管走访前，应当填制《反洗钱监管审批表》及《反洗钱监管通知书》，由本行（营业管理部）行长（主任）或者分管副行长（副主任）批准。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《反洗钱监管通知书》应当至少提前5个工作日送达金融机构。情况特殊需要立即实施监管走访的，应当在进入金融机构现场时送达《反洗钱监管通知书》。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监管走访时，中国人民银行及其分支机构反洗钱工作人员不得少于2人，并出示合法证件。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中国人民银行及其分支机构应当做好监管走访记录，必要时，可以制发《反洗钱监管意见书》。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第三十二条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中国人民银行及其分支机构应当持续跟踪金融机构对监管发现问题的整改情况，对于未合理制定整改计划或者未有效实施整改的，可以启动执法检查或者进一步采取其他监管措施。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第三十三条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分支机构对金融机构分支机构依法实施行政处罚，或者在监管过程中发现涉及金融机构总部的重大问题、系统性缺陷的，应当及时将处罚决定或者监管意见抄送中国人民银行或者金融机构总部所在地中国人民银行分支机构。 </w:t>
      </w:r>
    </w:p>
    <w:p w:rsidR="0086727D" w:rsidRDefault="0086727D" w:rsidP="0086727D">
      <w:pPr>
        <w:spacing w:line="580" w:lineRule="exact"/>
        <w:ind w:firstLine="645"/>
        <w:rPr>
          <w:rFonts w:ascii="仿宋" w:eastAsia="仿宋" w:hAnsi="仿宋" w:hint="eastAsia"/>
          <w:sz w:val="32"/>
          <w:szCs w:val="32"/>
        </w:rPr>
      </w:pPr>
      <w:r w:rsidRPr="0086727D">
        <w:rPr>
          <w:rFonts w:ascii="仿宋" w:eastAsia="仿宋" w:hAnsi="仿宋" w:hint="eastAsia"/>
          <w:b/>
          <w:sz w:val="32"/>
          <w:szCs w:val="32"/>
        </w:rPr>
        <w:t>第三十四条</w:t>
      </w:r>
      <w:r>
        <w:rPr>
          <w:rFonts w:ascii="仿宋" w:eastAsia="仿宋" w:hAnsi="仿宋" w:hint="eastAsia"/>
          <w:sz w:val="32"/>
          <w:szCs w:val="32"/>
        </w:rPr>
        <w:t xml:space="preserve"> </w:t>
      </w:r>
      <w:r w:rsidRPr="0086727D">
        <w:rPr>
          <w:rFonts w:ascii="仿宋" w:eastAsia="仿宋" w:hAnsi="仿宋" w:hint="eastAsia"/>
          <w:sz w:val="32"/>
          <w:szCs w:val="32"/>
        </w:rPr>
        <w:t>中国人民银行及其分支机构监管人员违反规定程序或者超越职权规定实施监管的，金融机构有权拒绝</w:t>
      </w:r>
      <w:r w:rsidRPr="0086727D">
        <w:rPr>
          <w:rFonts w:ascii="仿宋" w:eastAsia="仿宋" w:hAnsi="仿宋" w:hint="eastAsia"/>
          <w:sz w:val="32"/>
          <w:szCs w:val="32"/>
        </w:rPr>
        <w:lastRenderedPageBreak/>
        <w:t>或者提出异议。金融机构对中国人民银行及其分支机构提出的违法违规问题有权提出申辩，有合理理由的，中国人民银行及其分支机构应当采纳。</w:t>
      </w:r>
    </w:p>
    <w:p w:rsidR="0086727D" w:rsidRPr="0086727D" w:rsidRDefault="0086727D" w:rsidP="0086727D">
      <w:pPr>
        <w:spacing w:line="580" w:lineRule="exact"/>
        <w:ind w:firstLine="645"/>
        <w:rPr>
          <w:rFonts w:ascii="仿宋" w:eastAsia="仿宋" w:hAnsi="仿宋" w:hint="eastAsia"/>
          <w:sz w:val="32"/>
          <w:szCs w:val="32"/>
        </w:rPr>
      </w:pPr>
      <w:r w:rsidRPr="0086727D">
        <w:rPr>
          <w:rFonts w:ascii="仿宋" w:eastAsia="仿宋" w:hAnsi="仿宋" w:hint="eastAsia"/>
          <w:sz w:val="32"/>
          <w:szCs w:val="32"/>
        </w:rPr>
        <w:t xml:space="preserve"> </w:t>
      </w:r>
    </w:p>
    <w:p w:rsidR="0086727D" w:rsidRPr="0086727D" w:rsidRDefault="0086727D" w:rsidP="0086727D">
      <w:pPr>
        <w:spacing w:line="580" w:lineRule="exact"/>
        <w:jc w:val="center"/>
        <w:rPr>
          <w:rFonts w:ascii="仿宋" w:eastAsia="仿宋" w:hAnsi="仿宋" w:hint="eastAsia"/>
          <w:b/>
          <w:sz w:val="32"/>
          <w:szCs w:val="32"/>
        </w:rPr>
      </w:pPr>
      <w:r w:rsidRPr="0086727D">
        <w:rPr>
          <w:rFonts w:ascii="仿宋" w:eastAsia="仿宋" w:hAnsi="仿宋" w:hint="eastAsia"/>
          <w:b/>
          <w:sz w:val="32"/>
          <w:szCs w:val="32"/>
        </w:rPr>
        <w:t>第四章  法律责任</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b/>
          <w:sz w:val="32"/>
          <w:szCs w:val="32"/>
        </w:rPr>
        <w:t xml:space="preserve">　　第三十五条</w:t>
      </w:r>
      <w:r>
        <w:rPr>
          <w:rFonts w:ascii="仿宋" w:eastAsia="仿宋" w:hAnsi="仿宋" w:hint="eastAsia"/>
          <w:sz w:val="32"/>
          <w:szCs w:val="32"/>
        </w:rPr>
        <w:t xml:space="preserve"> </w:t>
      </w:r>
      <w:r w:rsidRPr="0086727D">
        <w:rPr>
          <w:rFonts w:ascii="仿宋" w:eastAsia="仿宋" w:hAnsi="仿宋" w:hint="eastAsia"/>
          <w:sz w:val="32"/>
          <w:szCs w:val="32"/>
        </w:rPr>
        <w:t xml:space="preserve">中国人民银行及其分支机构从事反洗钱工作的人员，违反本办法有关规定的，按照《中华人民共和国反洗钱法》第三十条的规定予以处分。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 xml:space="preserve">第三十六条 </w:t>
      </w:r>
      <w:r w:rsidRPr="0086727D">
        <w:rPr>
          <w:rFonts w:ascii="仿宋" w:eastAsia="仿宋" w:hAnsi="仿宋" w:hint="eastAsia"/>
          <w:sz w:val="32"/>
          <w:szCs w:val="32"/>
        </w:rPr>
        <w:t xml:space="preserve">金融机构违反本办法有关规定的，由中国人民银行或者其地市中心支行以上分支机构按照《中华人民共和国反洗钱法》第三十一条、第三十二条的规定进行处理；区别不同情形，建议国务院金融监督管理机构依法予以处理。 </w:t>
      </w:r>
    </w:p>
    <w:p w:rsidR="0086727D" w:rsidRDefault="0086727D" w:rsidP="0086727D">
      <w:pPr>
        <w:spacing w:line="580" w:lineRule="exact"/>
        <w:ind w:firstLine="645"/>
        <w:rPr>
          <w:rFonts w:ascii="仿宋" w:eastAsia="仿宋" w:hAnsi="仿宋" w:hint="eastAsia"/>
          <w:sz w:val="32"/>
          <w:szCs w:val="32"/>
        </w:rPr>
      </w:pPr>
      <w:r w:rsidRPr="0086727D">
        <w:rPr>
          <w:rFonts w:ascii="仿宋" w:eastAsia="仿宋" w:hAnsi="仿宋" w:hint="eastAsia"/>
          <w:sz w:val="32"/>
          <w:szCs w:val="32"/>
        </w:rPr>
        <w:t xml:space="preserve">中国人民银行县（市）支行发现金融机构违反本规定的，应报告其上一级分支机构，由该分支机构按照前款规定进行处理或提出建议。 </w:t>
      </w:r>
    </w:p>
    <w:p w:rsidR="0086727D" w:rsidRPr="0086727D" w:rsidRDefault="0086727D" w:rsidP="0086727D">
      <w:pPr>
        <w:spacing w:line="580" w:lineRule="exact"/>
        <w:ind w:firstLine="645"/>
        <w:rPr>
          <w:rFonts w:ascii="仿宋" w:eastAsia="仿宋" w:hAnsi="仿宋" w:hint="eastAsia"/>
          <w:sz w:val="32"/>
          <w:szCs w:val="32"/>
        </w:rPr>
      </w:pPr>
    </w:p>
    <w:p w:rsidR="0086727D" w:rsidRPr="0086727D" w:rsidRDefault="0086727D" w:rsidP="0086727D">
      <w:pPr>
        <w:spacing w:line="580" w:lineRule="exact"/>
        <w:jc w:val="center"/>
        <w:rPr>
          <w:rFonts w:ascii="仿宋" w:eastAsia="仿宋" w:hAnsi="仿宋" w:hint="eastAsia"/>
          <w:b/>
          <w:sz w:val="32"/>
          <w:szCs w:val="32"/>
        </w:rPr>
      </w:pPr>
      <w:r w:rsidRPr="0086727D">
        <w:rPr>
          <w:rFonts w:ascii="仿宋" w:eastAsia="仿宋" w:hAnsi="仿宋" w:hint="eastAsia"/>
          <w:b/>
          <w:sz w:val="32"/>
          <w:szCs w:val="32"/>
        </w:rPr>
        <w:t>第五章  附则</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b/>
          <w:sz w:val="32"/>
          <w:szCs w:val="32"/>
        </w:rPr>
        <w:t xml:space="preserve">　　第三十七条</w:t>
      </w:r>
      <w:r>
        <w:rPr>
          <w:rFonts w:ascii="仿宋" w:eastAsia="仿宋" w:hAnsi="仿宋" w:hint="eastAsia"/>
          <w:sz w:val="32"/>
          <w:szCs w:val="32"/>
        </w:rPr>
        <w:t xml:space="preserve"> </w:t>
      </w:r>
      <w:r w:rsidRPr="0086727D">
        <w:rPr>
          <w:rFonts w:ascii="仿宋" w:eastAsia="仿宋" w:hAnsi="仿宋" w:hint="eastAsia"/>
          <w:sz w:val="32"/>
          <w:szCs w:val="32"/>
        </w:rPr>
        <w:t xml:space="preserve">金融集团适用本办法第九条第四款、第十一条至第十三条的规定。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第三十八条</w:t>
      </w:r>
      <w:r>
        <w:rPr>
          <w:rFonts w:ascii="仿宋" w:eastAsia="仿宋" w:hAnsi="仿宋" w:hint="eastAsia"/>
          <w:sz w:val="32"/>
          <w:szCs w:val="32"/>
        </w:rPr>
        <w:t xml:space="preserve"> </w:t>
      </w:r>
      <w:r w:rsidRPr="0086727D">
        <w:rPr>
          <w:rFonts w:ascii="仿宋" w:eastAsia="仿宋" w:hAnsi="仿宋" w:hint="eastAsia"/>
          <w:sz w:val="32"/>
          <w:szCs w:val="32"/>
        </w:rPr>
        <w:t xml:space="preserve">本办法由中国人民银行负责解释。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w:t>
      </w:r>
      <w:r w:rsidRPr="0086727D">
        <w:rPr>
          <w:rFonts w:ascii="仿宋" w:eastAsia="仿宋" w:hAnsi="仿宋" w:hint="eastAsia"/>
          <w:b/>
          <w:sz w:val="32"/>
          <w:szCs w:val="32"/>
        </w:rPr>
        <w:t>第三十九条</w:t>
      </w:r>
      <w:r>
        <w:rPr>
          <w:rFonts w:ascii="仿宋" w:eastAsia="仿宋" w:hAnsi="仿宋" w:hint="eastAsia"/>
          <w:sz w:val="32"/>
          <w:szCs w:val="32"/>
        </w:rPr>
        <w:t xml:space="preserve"> </w:t>
      </w:r>
      <w:r w:rsidRPr="0086727D">
        <w:rPr>
          <w:rFonts w:ascii="仿宋" w:eastAsia="仿宋" w:hAnsi="仿宋" w:hint="eastAsia"/>
          <w:sz w:val="32"/>
          <w:szCs w:val="32"/>
        </w:rPr>
        <w:t xml:space="preserve">本办法自2021年8月1日起施行。本办法施行前有关反洗钱和反恐怖融资规定与本办法不一致的，按照本办法执行。《金融机构反洗钱监督管理办法（试行）》（银发〔2014〕344号文印发）同时废止。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lastRenderedPageBreak/>
        <w:t xml:space="preserve">　　附：1.反洗钱监管审批表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2.反洗钱监管通知书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3.反洗钱监管意见书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4.反洗钱监管提示函 </w:t>
      </w:r>
    </w:p>
    <w:p w:rsidR="0086727D" w:rsidRPr="0086727D" w:rsidRDefault="0086727D" w:rsidP="0086727D">
      <w:pPr>
        <w:spacing w:line="580" w:lineRule="exact"/>
        <w:rPr>
          <w:rFonts w:ascii="仿宋" w:eastAsia="仿宋" w:hAnsi="仿宋" w:hint="eastAsia"/>
          <w:sz w:val="32"/>
          <w:szCs w:val="32"/>
        </w:rPr>
      </w:pPr>
      <w:r w:rsidRPr="0086727D">
        <w:rPr>
          <w:rFonts w:ascii="仿宋" w:eastAsia="仿宋" w:hAnsi="仿宋" w:hint="eastAsia"/>
          <w:sz w:val="32"/>
          <w:szCs w:val="32"/>
        </w:rPr>
        <w:t xml:space="preserve">　　5.反洗钱约谈记录 </w:t>
      </w:r>
    </w:p>
    <w:p w:rsidR="0086727D" w:rsidRPr="0086727D" w:rsidRDefault="0086727D" w:rsidP="0086727D">
      <w:pPr>
        <w:spacing w:line="580" w:lineRule="exact"/>
        <w:rPr>
          <w:rFonts w:ascii="仿宋" w:eastAsia="仿宋" w:hAnsi="仿宋" w:hint="eastAsia"/>
          <w:sz w:val="32"/>
          <w:szCs w:val="32"/>
        </w:rPr>
      </w:pPr>
      <w:r>
        <w:rPr>
          <w:rFonts w:ascii="仿宋" w:eastAsia="仿宋" w:hAnsi="仿宋" w:hint="eastAsia"/>
          <w:sz w:val="32"/>
          <w:szCs w:val="32"/>
        </w:rPr>
        <w:t xml:space="preserve">    </w:t>
      </w:r>
      <w:r w:rsidRPr="0086727D">
        <w:rPr>
          <w:rFonts w:ascii="仿宋" w:eastAsia="仿宋" w:hAnsi="仿宋" w:hint="eastAsia"/>
          <w:sz w:val="32"/>
          <w:szCs w:val="32"/>
        </w:rPr>
        <w:t>附件.doc</w:t>
      </w:r>
      <w:r w:rsidRPr="0086727D">
        <w:rPr>
          <w:rFonts w:ascii="仿宋" w:eastAsia="仿宋" w:hAnsi="仿宋" w:hint="eastAsia"/>
          <w:sz w:val="32"/>
          <w:szCs w:val="32"/>
        </w:rPr>
        <w:cr/>
      </w:r>
    </w:p>
    <w:p w:rsidR="007324E7" w:rsidRPr="0086727D" w:rsidRDefault="007324E7" w:rsidP="0086727D">
      <w:pPr>
        <w:spacing w:line="580" w:lineRule="exact"/>
        <w:rPr>
          <w:rFonts w:ascii="仿宋" w:eastAsia="仿宋" w:hAnsi="仿宋"/>
          <w:sz w:val="32"/>
          <w:szCs w:val="32"/>
        </w:rPr>
      </w:pPr>
    </w:p>
    <w:sectPr w:rsidR="007324E7" w:rsidRPr="0086727D" w:rsidSect="007324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3A5" w:rsidRDefault="007523A5" w:rsidP="0086727D">
      <w:r>
        <w:separator/>
      </w:r>
    </w:p>
  </w:endnote>
  <w:endnote w:type="continuationSeparator" w:id="0">
    <w:p w:rsidR="007523A5" w:rsidRDefault="007523A5" w:rsidP="00867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295"/>
      <w:docPartObj>
        <w:docPartGallery w:val="Page Numbers (Bottom of Page)"/>
        <w:docPartUnique/>
      </w:docPartObj>
    </w:sdtPr>
    <w:sdtContent>
      <w:p w:rsidR="0086727D" w:rsidRDefault="0086727D">
        <w:pPr>
          <w:pStyle w:val="a6"/>
          <w:jc w:val="center"/>
        </w:pPr>
        <w:fldSimple w:instr=" PAGE   \* MERGEFORMAT ">
          <w:r w:rsidRPr="0086727D">
            <w:rPr>
              <w:noProof/>
              <w:lang w:val="zh-CN"/>
            </w:rPr>
            <w:t>1</w:t>
          </w:r>
        </w:fldSimple>
      </w:p>
    </w:sdtContent>
  </w:sdt>
  <w:p w:rsidR="0086727D" w:rsidRDefault="008672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3A5" w:rsidRDefault="007523A5" w:rsidP="0086727D">
      <w:r>
        <w:separator/>
      </w:r>
    </w:p>
  </w:footnote>
  <w:footnote w:type="continuationSeparator" w:id="0">
    <w:p w:rsidR="007523A5" w:rsidRDefault="007523A5" w:rsidP="00867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27D"/>
    <w:rsid w:val="0009622B"/>
    <w:rsid w:val="001E6F6F"/>
    <w:rsid w:val="002B0941"/>
    <w:rsid w:val="003F6C05"/>
    <w:rsid w:val="00473AAC"/>
    <w:rsid w:val="00480729"/>
    <w:rsid w:val="004B25AE"/>
    <w:rsid w:val="004D20BD"/>
    <w:rsid w:val="00501E6C"/>
    <w:rsid w:val="00505EAB"/>
    <w:rsid w:val="005D6CAE"/>
    <w:rsid w:val="006715F7"/>
    <w:rsid w:val="0071404A"/>
    <w:rsid w:val="007324E7"/>
    <w:rsid w:val="007523A5"/>
    <w:rsid w:val="0086727D"/>
    <w:rsid w:val="00953E0B"/>
    <w:rsid w:val="00A2488B"/>
    <w:rsid w:val="00AB2556"/>
    <w:rsid w:val="00B87F0A"/>
    <w:rsid w:val="00C76A64"/>
    <w:rsid w:val="00C97533"/>
    <w:rsid w:val="00CD60EA"/>
    <w:rsid w:val="00CD7B38"/>
    <w:rsid w:val="00D128E4"/>
    <w:rsid w:val="00EC0EC7"/>
    <w:rsid w:val="00FC38A9"/>
    <w:rsid w:val="00FD4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C7"/>
    <w:pPr>
      <w:widowControl w:val="0"/>
      <w:jc w:val="both"/>
    </w:pPr>
    <w:rPr>
      <w:rFonts w:ascii="Calibri" w:eastAsia="宋体" w:hAnsi="Calibri"/>
    </w:rPr>
  </w:style>
  <w:style w:type="paragraph" w:styleId="2">
    <w:name w:val="heading 2"/>
    <w:basedOn w:val="a"/>
    <w:link w:val="2Char"/>
    <w:uiPriority w:val="9"/>
    <w:qFormat/>
    <w:rsid w:val="0086727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0EC7"/>
    <w:rPr>
      <w:b/>
      <w:bCs/>
    </w:rPr>
  </w:style>
  <w:style w:type="character" w:customStyle="1" w:styleId="2Char">
    <w:name w:val="标题 2 Char"/>
    <w:basedOn w:val="a0"/>
    <w:link w:val="2"/>
    <w:uiPriority w:val="9"/>
    <w:rsid w:val="0086727D"/>
    <w:rPr>
      <w:rFonts w:ascii="宋体" w:eastAsia="宋体" w:hAnsi="宋体" w:cs="宋体"/>
      <w:b/>
      <w:bCs/>
      <w:kern w:val="0"/>
      <w:sz w:val="36"/>
      <w:szCs w:val="36"/>
    </w:rPr>
  </w:style>
  <w:style w:type="character" w:styleId="a4">
    <w:name w:val="Hyperlink"/>
    <w:basedOn w:val="a0"/>
    <w:uiPriority w:val="99"/>
    <w:semiHidden/>
    <w:unhideWhenUsed/>
    <w:rsid w:val="0086727D"/>
    <w:rPr>
      <w:color w:val="0000FF"/>
      <w:u w:val="single"/>
    </w:rPr>
  </w:style>
  <w:style w:type="paragraph" w:styleId="a5">
    <w:name w:val="header"/>
    <w:basedOn w:val="a"/>
    <w:link w:val="Char"/>
    <w:uiPriority w:val="99"/>
    <w:semiHidden/>
    <w:unhideWhenUsed/>
    <w:rsid w:val="00867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6727D"/>
    <w:rPr>
      <w:rFonts w:ascii="Calibri" w:eastAsia="宋体" w:hAnsi="Calibri"/>
      <w:sz w:val="18"/>
      <w:szCs w:val="18"/>
    </w:rPr>
  </w:style>
  <w:style w:type="paragraph" w:styleId="a6">
    <w:name w:val="footer"/>
    <w:basedOn w:val="a"/>
    <w:link w:val="Char0"/>
    <w:uiPriority w:val="99"/>
    <w:unhideWhenUsed/>
    <w:rsid w:val="0086727D"/>
    <w:pPr>
      <w:tabs>
        <w:tab w:val="center" w:pos="4153"/>
        <w:tab w:val="right" w:pos="8306"/>
      </w:tabs>
      <w:snapToGrid w:val="0"/>
      <w:jc w:val="left"/>
    </w:pPr>
    <w:rPr>
      <w:sz w:val="18"/>
      <w:szCs w:val="18"/>
    </w:rPr>
  </w:style>
  <w:style w:type="character" w:customStyle="1" w:styleId="Char0">
    <w:name w:val="页脚 Char"/>
    <w:basedOn w:val="a0"/>
    <w:link w:val="a6"/>
    <w:uiPriority w:val="99"/>
    <w:rsid w:val="0086727D"/>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divs>
    <w:div w:id="1199586195">
      <w:bodyDiv w:val="1"/>
      <w:marLeft w:val="0"/>
      <w:marRight w:val="0"/>
      <w:marTop w:val="0"/>
      <w:marBottom w:val="0"/>
      <w:divBdr>
        <w:top w:val="none" w:sz="0" w:space="0" w:color="auto"/>
        <w:left w:val="none" w:sz="0" w:space="0" w:color="auto"/>
        <w:bottom w:val="none" w:sz="0" w:space="0" w:color="auto"/>
        <w:right w:val="none" w:sz="0" w:space="0" w:color="auto"/>
      </w:divBdr>
      <w:divsChild>
        <w:div w:id="347099460">
          <w:marLeft w:val="0"/>
          <w:marRight w:val="0"/>
          <w:marTop w:val="0"/>
          <w:marBottom w:val="0"/>
          <w:divBdr>
            <w:top w:val="none" w:sz="0" w:space="0" w:color="auto"/>
            <w:left w:val="none" w:sz="0" w:space="0" w:color="auto"/>
            <w:bottom w:val="none" w:sz="0" w:space="0" w:color="auto"/>
            <w:right w:val="none" w:sz="0" w:space="0" w:color="auto"/>
          </w:divBdr>
          <w:divsChild>
            <w:div w:id="415595102">
              <w:marLeft w:val="0"/>
              <w:marRight w:val="0"/>
              <w:marTop w:val="0"/>
              <w:marBottom w:val="0"/>
              <w:divBdr>
                <w:top w:val="none" w:sz="0" w:space="0" w:color="auto"/>
                <w:left w:val="none" w:sz="0" w:space="0" w:color="auto"/>
                <w:bottom w:val="none" w:sz="0" w:space="0" w:color="auto"/>
                <w:right w:val="none" w:sz="0" w:space="0" w:color="auto"/>
              </w:divBdr>
              <w:divsChild>
                <w:div w:id="1640644940">
                  <w:marLeft w:val="0"/>
                  <w:marRight w:val="0"/>
                  <w:marTop w:val="0"/>
                  <w:marBottom w:val="0"/>
                  <w:divBdr>
                    <w:top w:val="none" w:sz="0" w:space="0" w:color="auto"/>
                    <w:left w:val="none" w:sz="0" w:space="0" w:color="auto"/>
                    <w:bottom w:val="none" w:sz="0" w:space="0" w:color="auto"/>
                    <w:right w:val="none" w:sz="0" w:space="0" w:color="auto"/>
                  </w:divBdr>
                  <w:divsChild>
                    <w:div w:id="414934476">
                      <w:marLeft w:val="0"/>
                      <w:marRight w:val="0"/>
                      <w:marTop w:val="0"/>
                      <w:marBottom w:val="0"/>
                      <w:divBdr>
                        <w:top w:val="none" w:sz="0" w:space="0" w:color="auto"/>
                        <w:left w:val="none" w:sz="0" w:space="0" w:color="auto"/>
                        <w:bottom w:val="none" w:sz="0" w:space="0" w:color="auto"/>
                        <w:right w:val="none" w:sz="0" w:space="0" w:color="auto"/>
                      </w:divBdr>
                      <w:divsChild>
                        <w:div w:id="134109361">
                          <w:marLeft w:val="0"/>
                          <w:marRight w:val="0"/>
                          <w:marTop w:val="0"/>
                          <w:marBottom w:val="0"/>
                          <w:divBdr>
                            <w:top w:val="none" w:sz="0" w:space="0" w:color="auto"/>
                            <w:left w:val="none" w:sz="0" w:space="0" w:color="auto"/>
                            <w:bottom w:val="none" w:sz="0" w:space="0" w:color="auto"/>
                            <w:right w:val="none" w:sz="0" w:space="0" w:color="auto"/>
                          </w:divBdr>
                          <w:divsChild>
                            <w:div w:id="1819297599">
                              <w:marLeft w:val="0"/>
                              <w:marRight w:val="0"/>
                              <w:marTop w:val="0"/>
                              <w:marBottom w:val="0"/>
                              <w:divBdr>
                                <w:top w:val="none" w:sz="0" w:space="0" w:color="auto"/>
                                <w:left w:val="none" w:sz="0" w:space="0" w:color="auto"/>
                                <w:bottom w:val="none" w:sz="0" w:space="0" w:color="auto"/>
                                <w:right w:val="none" w:sz="0" w:space="0" w:color="auto"/>
                              </w:divBdr>
                            </w:div>
                            <w:div w:id="1199589529">
                              <w:marLeft w:val="0"/>
                              <w:marRight w:val="0"/>
                              <w:marTop w:val="0"/>
                              <w:marBottom w:val="0"/>
                              <w:divBdr>
                                <w:top w:val="none" w:sz="0" w:space="0" w:color="auto"/>
                                <w:left w:val="none" w:sz="0" w:space="0" w:color="auto"/>
                                <w:bottom w:val="none" w:sz="0" w:space="0" w:color="auto"/>
                                <w:right w:val="none" w:sz="0" w:space="0" w:color="auto"/>
                              </w:divBdr>
                            </w:div>
                            <w:div w:id="754592329">
                              <w:marLeft w:val="0"/>
                              <w:marRight w:val="0"/>
                              <w:marTop w:val="0"/>
                              <w:marBottom w:val="0"/>
                              <w:divBdr>
                                <w:top w:val="none" w:sz="0" w:space="0" w:color="auto"/>
                                <w:left w:val="none" w:sz="0" w:space="0" w:color="auto"/>
                                <w:bottom w:val="none" w:sz="0" w:space="0" w:color="auto"/>
                                <w:right w:val="none" w:sz="0" w:space="0" w:color="auto"/>
                              </w:divBdr>
                            </w:div>
                            <w:div w:id="1376082555">
                              <w:marLeft w:val="0"/>
                              <w:marRight w:val="0"/>
                              <w:marTop w:val="0"/>
                              <w:marBottom w:val="0"/>
                              <w:divBdr>
                                <w:top w:val="none" w:sz="0" w:space="0" w:color="auto"/>
                                <w:left w:val="none" w:sz="0" w:space="0" w:color="auto"/>
                                <w:bottom w:val="none" w:sz="0" w:space="0" w:color="auto"/>
                                <w:right w:val="none" w:sz="0" w:space="0" w:color="auto"/>
                              </w:divBdr>
                            </w:div>
                            <w:div w:id="1190072686">
                              <w:marLeft w:val="0"/>
                              <w:marRight w:val="0"/>
                              <w:marTop w:val="0"/>
                              <w:marBottom w:val="0"/>
                              <w:divBdr>
                                <w:top w:val="none" w:sz="0" w:space="0" w:color="auto"/>
                                <w:left w:val="none" w:sz="0" w:space="0" w:color="auto"/>
                                <w:bottom w:val="none" w:sz="0" w:space="0" w:color="auto"/>
                                <w:right w:val="none" w:sz="0" w:space="0" w:color="auto"/>
                              </w:divBdr>
                            </w:div>
                            <w:div w:id="777334486">
                              <w:marLeft w:val="0"/>
                              <w:marRight w:val="0"/>
                              <w:marTop w:val="0"/>
                              <w:marBottom w:val="0"/>
                              <w:divBdr>
                                <w:top w:val="none" w:sz="0" w:space="0" w:color="auto"/>
                                <w:left w:val="none" w:sz="0" w:space="0" w:color="auto"/>
                                <w:bottom w:val="none" w:sz="0" w:space="0" w:color="auto"/>
                                <w:right w:val="none" w:sz="0" w:space="0" w:color="auto"/>
                              </w:divBdr>
                            </w:div>
                            <w:div w:id="1597205849">
                              <w:marLeft w:val="0"/>
                              <w:marRight w:val="0"/>
                              <w:marTop w:val="0"/>
                              <w:marBottom w:val="0"/>
                              <w:divBdr>
                                <w:top w:val="none" w:sz="0" w:space="0" w:color="auto"/>
                                <w:left w:val="none" w:sz="0" w:space="0" w:color="auto"/>
                                <w:bottom w:val="none" w:sz="0" w:space="0" w:color="auto"/>
                                <w:right w:val="none" w:sz="0" w:space="0" w:color="auto"/>
                              </w:divBdr>
                            </w:div>
                            <w:div w:id="80419359">
                              <w:marLeft w:val="0"/>
                              <w:marRight w:val="0"/>
                              <w:marTop w:val="0"/>
                              <w:marBottom w:val="0"/>
                              <w:divBdr>
                                <w:top w:val="none" w:sz="0" w:space="0" w:color="auto"/>
                                <w:left w:val="none" w:sz="0" w:space="0" w:color="auto"/>
                                <w:bottom w:val="none" w:sz="0" w:space="0" w:color="auto"/>
                                <w:right w:val="none" w:sz="0" w:space="0" w:color="auto"/>
                              </w:divBdr>
                            </w:div>
                            <w:div w:id="910431990">
                              <w:marLeft w:val="0"/>
                              <w:marRight w:val="0"/>
                              <w:marTop w:val="0"/>
                              <w:marBottom w:val="0"/>
                              <w:divBdr>
                                <w:top w:val="none" w:sz="0" w:space="0" w:color="auto"/>
                                <w:left w:val="none" w:sz="0" w:space="0" w:color="auto"/>
                                <w:bottom w:val="none" w:sz="0" w:space="0" w:color="auto"/>
                                <w:right w:val="none" w:sz="0" w:space="0" w:color="auto"/>
                              </w:divBdr>
                            </w:div>
                            <w:div w:id="1984574313">
                              <w:marLeft w:val="0"/>
                              <w:marRight w:val="0"/>
                              <w:marTop w:val="0"/>
                              <w:marBottom w:val="0"/>
                              <w:divBdr>
                                <w:top w:val="none" w:sz="0" w:space="0" w:color="auto"/>
                                <w:left w:val="none" w:sz="0" w:space="0" w:color="auto"/>
                                <w:bottom w:val="none" w:sz="0" w:space="0" w:color="auto"/>
                                <w:right w:val="none" w:sz="0" w:space="0" w:color="auto"/>
                              </w:divBdr>
                            </w:div>
                            <w:div w:id="1483503449">
                              <w:marLeft w:val="0"/>
                              <w:marRight w:val="0"/>
                              <w:marTop w:val="0"/>
                              <w:marBottom w:val="0"/>
                              <w:divBdr>
                                <w:top w:val="none" w:sz="0" w:space="0" w:color="auto"/>
                                <w:left w:val="none" w:sz="0" w:space="0" w:color="auto"/>
                                <w:bottom w:val="none" w:sz="0" w:space="0" w:color="auto"/>
                                <w:right w:val="none" w:sz="0" w:space="0" w:color="auto"/>
                              </w:divBdr>
                            </w:div>
                            <w:div w:id="1225028649">
                              <w:marLeft w:val="0"/>
                              <w:marRight w:val="0"/>
                              <w:marTop w:val="0"/>
                              <w:marBottom w:val="0"/>
                              <w:divBdr>
                                <w:top w:val="none" w:sz="0" w:space="0" w:color="auto"/>
                                <w:left w:val="none" w:sz="0" w:space="0" w:color="auto"/>
                                <w:bottom w:val="none" w:sz="0" w:space="0" w:color="auto"/>
                                <w:right w:val="none" w:sz="0" w:space="0" w:color="auto"/>
                              </w:divBdr>
                            </w:div>
                            <w:div w:id="2113357552">
                              <w:marLeft w:val="0"/>
                              <w:marRight w:val="0"/>
                              <w:marTop w:val="0"/>
                              <w:marBottom w:val="0"/>
                              <w:divBdr>
                                <w:top w:val="none" w:sz="0" w:space="0" w:color="auto"/>
                                <w:left w:val="none" w:sz="0" w:space="0" w:color="auto"/>
                                <w:bottom w:val="none" w:sz="0" w:space="0" w:color="auto"/>
                                <w:right w:val="none" w:sz="0" w:space="0" w:color="auto"/>
                              </w:divBdr>
                            </w:div>
                            <w:div w:id="191653073">
                              <w:marLeft w:val="0"/>
                              <w:marRight w:val="0"/>
                              <w:marTop w:val="0"/>
                              <w:marBottom w:val="0"/>
                              <w:divBdr>
                                <w:top w:val="none" w:sz="0" w:space="0" w:color="auto"/>
                                <w:left w:val="none" w:sz="0" w:space="0" w:color="auto"/>
                                <w:bottom w:val="none" w:sz="0" w:space="0" w:color="auto"/>
                                <w:right w:val="none" w:sz="0" w:space="0" w:color="auto"/>
                              </w:divBdr>
                            </w:div>
                            <w:div w:id="993334652">
                              <w:marLeft w:val="0"/>
                              <w:marRight w:val="0"/>
                              <w:marTop w:val="0"/>
                              <w:marBottom w:val="0"/>
                              <w:divBdr>
                                <w:top w:val="none" w:sz="0" w:space="0" w:color="auto"/>
                                <w:left w:val="none" w:sz="0" w:space="0" w:color="auto"/>
                                <w:bottom w:val="none" w:sz="0" w:space="0" w:color="auto"/>
                                <w:right w:val="none" w:sz="0" w:space="0" w:color="auto"/>
                              </w:divBdr>
                            </w:div>
                            <w:div w:id="1025985722">
                              <w:marLeft w:val="0"/>
                              <w:marRight w:val="0"/>
                              <w:marTop w:val="0"/>
                              <w:marBottom w:val="0"/>
                              <w:divBdr>
                                <w:top w:val="none" w:sz="0" w:space="0" w:color="auto"/>
                                <w:left w:val="none" w:sz="0" w:space="0" w:color="auto"/>
                                <w:bottom w:val="none" w:sz="0" w:space="0" w:color="auto"/>
                                <w:right w:val="none" w:sz="0" w:space="0" w:color="auto"/>
                              </w:divBdr>
                            </w:div>
                            <w:div w:id="291058705">
                              <w:marLeft w:val="0"/>
                              <w:marRight w:val="0"/>
                              <w:marTop w:val="0"/>
                              <w:marBottom w:val="0"/>
                              <w:divBdr>
                                <w:top w:val="none" w:sz="0" w:space="0" w:color="auto"/>
                                <w:left w:val="none" w:sz="0" w:space="0" w:color="auto"/>
                                <w:bottom w:val="none" w:sz="0" w:space="0" w:color="auto"/>
                                <w:right w:val="none" w:sz="0" w:space="0" w:color="auto"/>
                              </w:divBdr>
                            </w:div>
                            <w:div w:id="176118057">
                              <w:marLeft w:val="0"/>
                              <w:marRight w:val="0"/>
                              <w:marTop w:val="0"/>
                              <w:marBottom w:val="0"/>
                              <w:divBdr>
                                <w:top w:val="none" w:sz="0" w:space="0" w:color="auto"/>
                                <w:left w:val="none" w:sz="0" w:space="0" w:color="auto"/>
                                <w:bottom w:val="none" w:sz="0" w:space="0" w:color="auto"/>
                                <w:right w:val="none" w:sz="0" w:space="0" w:color="auto"/>
                              </w:divBdr>
                            </w:div>
                            <w:div w:id="657340989">
                              <w:marLeft w:val="0"/>
                              <w:marRight w:val="0"/>
                              <w:marTop w:val="0"/>
                              <w:marBottom w:val="0"/>
                              <w:divBdr>
                                <w:top w:val="none" w:sz="0" w:space="0" w:color="auto"/>
                                <w:left w:val="none" w:sz="0" w:space="0" w:color="auto"/>
                                <w:bottom w:val="none" w:sz="0" w:space="0" w:color="auto"/>
                                <w:right w:val="none" w:sz="0" w:space="0" w:color="auto"/>
                              </w:divBdr>
                            </w:div>
                            <w:div w:id="1182549865">
                              <w:marLeft w:val="0"/>
                              <w:marRight w:val="0"/>
                              <w:marTop w:val="0"/>
                              <w:marBottom w:val="0"/>
                              <w:divBdr>
                                <w:top w:val="none" w:sz="0" w:space="0" w:color="auto"/>
                                <w:left w:val="none" w:sz="0" w:space="0" w:color="auto"/>
                                <w:bottom w:val="none" w:sz="0" w:space="0" w:color="auto"/>
                                <w:right w:val="none" w:sz="0" w:space="0" w:color="auto"/>
                              </w:divBdr>
                            </w:div>
                            <w:div w:id="468983019">
                              <w:marLeft w:val="0"/>
                              <w:marRight w:val="0"/>
                              <w:marTop w:val="0"/>
                              <w:marBottom w:val="0"/>
                              <w:divBdr>
                                <w:top w:val="none" w:sz="0" w:space="0" w:color="auto"/>
                                <w:left w:val="none" w:sz="0" w:space="0" w:color="auto"/>
                                <w:bottom w:val="none" w:sz="0" w:space="0" w:color="auto"/>
                                <w:right w:val="none" w:sz="0" w:space="0" w:color="auto"/>
                              </w:divBdr>
                            </w:div>
                            <w:div w:id="1775708117">
                              <w:marLeft w:val="0"/>
                              <w:marRight w:val="0"/>
                              <w:marTop w:val="0"/>
                              <w:marBottom w:val="0"/>
                              <w:divBdr>
                                <w:top w:val="none" w:sz="0" w:space="0" w:color="auto"/>
                                <w:left w:val="none" w:sz="0" w:space="0" w:color="auto"/>
                                <w:bottom w:val="none" w:sz="0" w:space="0" w:color="auto"/>
                                <w:right w:val="none" w:sz="0" w:space="0" w:color="auto"/>
                              </w:divBdr>
                            </w:div>
                            <w:div w:id="660160415">
                              <w:marLeft w:val="0"/>
                              <w:marRight w:val="0"/>
                              <w:marTop w:val="0"/>
                              <w:marBottom w:val="0"/>
                              <w:divBdr>
                                <w:top w:val="none" w:sz="0" w:space="0" w:color="auto"/>
                                <w:left w:val="none" w:sz="0" w:space="0" w:color="auto"/>
                                <w:bottom w:val="none" w:sz="0" w:space="0" w:color="auto"/>
                                <w:right w:val="none" w:sz="0" w:space="0" w:color="auto"/>
                              </w:divBdr>
                            </w:div>
                            <w:div w:id="1096747176">
                              <w:marLeft w:val="0"/>
                              <w:marRight w:val="0"/>
                              <w:marTop w:val="0"/>
                              <w:marBottom w:val="0"/>
                              <w:divBdr>
                                <w:top w:val="none" w:sz="0" w:space="0" w:color="auto"/>
                                <w:left w:val="none" w:sz="0" w:space="0" w:color="auto"/>
                                <w:bottom w:val="none" w:sz="0" w:space="0" w:color="auto"/>
                                <w:right w:val="none" w:sz="0" w:space="0" w:color="auto"/>
                              </w:divBdr>
                            </w:div>
                            <w:div w:id="757144027">
                              <w:marLeft w:val="0"/>
                              <w:marRight w:val="0"/>
                              <w:marTop w:val="0"/>
                              <w:marBottom w:val="0"/>
                              <w:divBdr>
                                <w:top w:val="none" w:sz="0" w:space="0" w:color="auto"/>
                                <w:left w:val="none" w:sz="0" w:space="0" w:color="auto"/>
                                <w:bottom w:val="none" w:sz="0" w:space="0" w:color="auto"/>
                                <w:right w:val="none" w:sz="0" w:space="0" w:color="auto"/>
                              </w:divBdr>
                            </w:div>
                            <w:div w:id="1778060326">
                              <w:marLeft w:val="0"/>
                              <w:marRight w:val="0"/>
                              <w:marTop w:val="0"/>
                              <w:marBottom w:val="0"/>
                              <w:divBdr>
                                <w:top w:val="none" w:sz="0" w:space="0" w:color="auto"/>
                                <w:left w:val="none" w:sz="0" w:space="0" w:color="auto"/>
                                <w:bottom w:val="none" w:sz="0" w:space="0" w:color="auto"/>
                                <w:right w:val="none" w:sz="0" w:space="0" w:color="auto"/>
                              </w:divBdr>
                            </w:div>
                            <w:div w:id="716202366">
                              <w:marLeft w:val="0"/>
                              <w:marRight w:val="0"/>
                              <w:marTop w:val="0"/>
                              <w:marBottom w:val="0"/>
                              <w:divBdr>
                                <w:top w:val="none" w:sz="0" w:space="0" w:color="auto"/>
                                <w:left w:val="none" w:sz="0" w:space="0" w:color="auto"/>
                                <w:bottom w:val="none" w:sz="0" w:space="0" w:color="auto"/>
                                <w:right w:val="none" w:sz="0" w:space="0" w:color="auto"/>
                              </w:divBdr>
                            </w:div>
                            <w:div w:id="1117260042">
                              <w:marLeft w:val="0"/>
                              <w:marRight w:val="0"/>
                              <w:marTop w:val="0"/>
                              <w:marBottom w:val="0"/>
                              <w:divBdr>
                                <w:top w:val="none" w:sz="0" w:space="0" w:color="auto"/>
                                <w:left w:val="none" w:sz="0" w:space="0" w:color="auto"/>
                                <w:bottom w:val="none" w:sz="0" w:space="0" w:color="auto"/>
                                <w:right w:val="none" w:sz="0" w:space="0" w:color="auto"/>
                              </w:divBdr>
                            </w:div>
                            <w:div w:id="1115640731">
                              <w:marLeft w:val="0"/>
                              <w:marRight w:val="0"/>
                              <w:marTop w:val="0"/>
                              <w:marBottom w:val="0"/>
                              <w:divBdr>
                                <w:top w:val="none" w:sz="0" w:space="0" w:color="auto"/>
                                <w:left w:val="none" w:sz="0" w:space="0" w:color="auto"/>
                                <w:bottom w:val="none" w:sz="0" w:space="0" w:color="auto"/>
                                <w:right w:val="none" w:sz="0" w:space="0" w:color="auto"/>
                              </w:divBdr>
                            </w:div>
                            <w:div w:id="2119522740">
                              <w:marLeft w:val="0"/>
                              <w:marRight w:val="0"/>
                              <w:marTop w:val="0"/>
                              <w:marBottom w:val="0"/>
                              <w:divBdr>
                                <w:top w:val="none" w:sz="0" w:space="0" w:color="auto"/>
                                <w:left w:val="none" w:sz="0" w:space="0" w:color="auto"/>
                                <w:bottom w:val="none" w:sz="0" w:space="0" w:color="auto"/>
                                <w:right w:val="none" w:sz="0" w:space="0" w:color="auto"/>
                              </w:divBdr>
                            </w:div>
                            <w:div w:id="1959411659">
                              <w:marLeft w:val="0"/>
                              <w:marRight w:val="0"/>
                              <w:marTop w:val="0"/>
                              <w:marBottom w:val="0"/>
                              <w:divBdr>
                                <w:top w:val="none" w:sz="0" w:space="0" w:color="auto"/>
                                <w:left w:val="none" w:sz="0" w:space="0" w:color="auto"/>
                                <w:bottom w:val="none" w:sz="0" w:space="0" w:color="auto"/>
                                <w:right w:val="none" w:sz="0" w:space="0" w:color="auto"/>
                              </w:divBdr>
                            </w:div>
                            <w:div w:id="2048949481">
                              <w:marLeft w:val="0"/>
                              <w:marRight w:val="0"/>
                              <w:marTop w:val="0"/>
                              <w:marBottom w:val="0"/>
                              <w:divBdr>
                                <w:top w:val="none" w:sz="0" w:space="0" w:color="auto"/>
                                <w:left w:val="none" w:sz="0" w:space="0" w:color="auto"/>
                                <w:bottom w:val="none" w:sz="0" w:space="0" w:color="auto"/>
                                <w:right w:val="none" w:sz="0" w:space="0" w:color="auto"/>
                              </w:divBdr>
                            </w:div>
                            <w:div w:id="864755209">
                              <w:marLeft w:val="0"/>
                              <w:marRight w:val="0"/>
                              <w:marTop w:val="0"/>
                              <w:marBottom w:val="0"/>
                              <w:divBdr>
                                <w:top w:val="none" w:sz="0" w:space="0" w:color="auto"/>
                                <w:left w:val="none" w:sz="0" w:space="0" w:color="auto"/>
                                <w:bottom w:val="none" w:sz="0" w:space="0" w:color="auto"/>
                                <w:right w:val="none" w:sz="0" w:space="0" w:color="auto"/>
                              </w:divBdr>
                            </w:div>
                            <w:div w:id="1249581889">
                              <w:marLeft w:val="0"/>
                              <w:marRight w:val="0"/>
                              <w:marTop w:val="0"/>
                              <w:marBottom w:val="0"/>
                              <w:divBdr>
                                <w:top w:val="none" w:sz="0" w:space="0" w:color="auto"/>
                                <w:left w:val="none" w:sz="0" w:space="0" w:color="auto"/>
                                <w:bottom w:val="none" w:sz="0" w:space="0" w:color="auto"/>
                                <w:right w:val="none" w:sz="0" w:space="0" w:color="auto"/>
                              </w:divBdr>
                            </w:div>
                            <w:div w:id="672489502">
                              <w:marLeft w:val="0"/>
                              <w:marRight w:val="0"/>
                              <w:marTop w:val="0"/>
                              <w:marBottom w:val="0"/>
                              <w:divBdr>
                                <w:top w:val="none" w:sz="0" w:space="0" w:color="auto"/>
                                <w:left w:val="none" w:sz="0" w:space="0" w:color="auto"/>
                                <w:bottom w:val="none" w:sz="0" w:space="0" w:color="auto"/>
                                <w:right w:val="none" w:sz="0" w:space="0" w:color="auto"/>
                              </w:divBdr>
                            </w:div>
                            <w:div w:id="60566993">
                              <w:marLeft w:val="0"/>
                              <w:marRight w:val="0"/>
                              <w:marTop w:val="0"/>
                              <w:marBottom w:val="0"/>
                              <w:divBdr>
                                <w:top w:val="none" w:sz="0" w:space="0" w:color="auto"/>
                                <w:left w:val="none" w:sz="0" w:space="0" w:color="auto"/>
                                <w:bottom w:val="none" w:sz="0" w:space="0" w:color="auto"/>
                                <w:right w:val="none" w:sz="0" w:space="0" w:color="auto"/>
                              </w:divBdr>
                            </w:div>
                            <w:div w:id="1259216516">
                              <w:marLeft w:val="0"/>
                              <w:marRight w:val="0"/>
                              <w:marTop w:val="0"/>
                              <w:marBottom w:val="0"/>
                              <w:divBdr>
                                <w:top w:val="none" w:sz="0" w:space="0" w:color="auto"/>
                                <w:left w:val="none" w:sz="0" w:space="0" w:color="auto"/>
                                <w:bottom w:val="none" w:sz="0" w:space="0" w:color="auto"/>
                                <w:right w:val="none" w:sz="0" w:space="0" w:color="auto"/>
                              </w:divBdr>
                            </w:div>
                            <w:div w:id="1058938545">
                              <w:marLeft w:val="0"/>
                              <w:marRight w:val="0"/>
                              <w:marTop w:val="0"/>
                              <w:marBottom w:val="0"/>
                              <w:divBdr>
                                <w:top w:val="none" w:sz="0" w:space="0" w:color="auto"/>
                                <w:left w:val="none" w:sz="0" w:space="0" w:color="auto"/>
                                <w:bottom w:val="none" w:sz="0" w:space="0" w:color="auto"/>
                                <w:right w:val="none" w:sz="0" w:space="0" w:color="auto"/>
                              </w:divBdr>
                            </w:div>
                            <w:div w:id="260994585">
                              <w:marLeft w:val="0"/>
                              <w:marRight w:val="0"/>
                              <w:marTop w:val="0"/>
                              <w:marBottom w:val="0"/>
                              <w:divBdr>
                                <w:top w:val="none" w:sz="0" w:space="0" w:color="auto"/>
                                <w:left w:val="none" w:sz="0" w:space="0" w:color="auto"/>
                                <w:bottom w:val="none" w:sz="0" w:space="0" w:color="auto"/>
                                <w:right w:val="none" w:sz="0" w:space="0" w:color="auto"/>
                              </w:divBdr>
                            </w:div>
                            <w:div w:id="901333836">
                              <w:marLeft w:val="0"/>
                              <w:marRight w:val="0"/>
                              <w:marTop w:val="0"/>
                              <w:marBottom w:val="0"/>
                              <w:divBdr>
                                <w:top w:val="none" w:sz="0" w:space="0" w:color="auto"/>
                                <w:left w:val="none" w:sz="0" w:space="0" w:color="auto"/>
                                <w:bottom w:val="none" w:sz="0" w:space="0" w:color="auto"/>
                                <w:right w:val="none" w:sz="0" w:space="0" w:color="auto"/>
                              </w:divBdr>
                            </w:div>
                            <w:div w:id="1183738863">
                              <w:marLeft w:val="0"/>
                              <w:marRight w:val="0"/>
                              <w:marTop w:val="0"/>
                              <w:marBottom w:val="0"/>
                              <w:divBdr>
                                <w:top w:val="none" w:sz="0" w:space="0" w:color="auto"/>
                                <w:left w:val="none" w:sz="0" w:space="0" w:color="auto"/>
                                <w:bottom w:val="none" w:sz="0" w:space="0" w:color="auto"/>
                                <w:right w:val="none" w:sz="0" w:space="0" w:color="auto"/>
                              </w:divBdr>
                            </w:div>
                            <w:div w:id="1535193871">
                              <w:marLeft w:val="0"/>
                              <w:marRight w:val="0"/>
                              <w:marTop w:val="0"/>
                              <w:marBottom w:val="0"/>
                              <w:divBdr>
                                <w:top w:val="none" w:sz="0" w:space="0" w:color="auto"/>
                                <w:left w:val="none" w:sz="0" w:space="0" w:color="auto"/>
                                <w:bottom w:val="none" w:sz="0" w:space="0" w:color="auto"/>
                                <w:right w:val="none" w:sz="0" w:space="0" w:color="auto"/>
                              </w:divBdr>
                            </w:div>
                            <w:div w:id="1687058038">
                              <w:marLeft w:val="0"/>
                              <w:marRight w:val="0"/>
                              <w:marTop w:val="0"/>
                              <w:marBottom w:val="0"/>
                              <w:divBdr>
                                <w:top w:val="none" w:sz="0" w:space="0" w:color="auto"/>
                                <w:left w:val="none" w:sz="0" w:space="0" w:color="auto"/>
                                <w:bottom w:val="none" w:sz="0" w:space="0" w:color="auto"/>
                                <w:right w:val="none" w:sz="0" w:space="0" w:color="auto"/>
                              </w:divBdr>
                            </w:div>
                            <w:div w:id="758522418">
                              <w:marLeft w:val="0"/>
                              <w:marRight w:val="0"/>
                              <w:marTop w:val="0"/>
                              <w:marBottom w:val="0"/>
                              <w:divBdr>
                                <w:top w:val="none" w:sz="0" w:space="0" w:color="auto"/>
                                <w:left w:val="none" w:sz="0" w:space="0" w:color="auto"/>
                                <w:bottom w:val="none" w:sz="0" w:space="0" w:color="auto"/>
                                <w:right w:val="none" w:sz="0" w:space="0" w:color="auto"/>
                              </w:divBdr>
                            </w:div>
                            <w:div w:id="1772507000">
                              <w:marLeft w:val="0"/>
                              <w:marRight w:val="0"/>
                              <w:marTop w:val="0"/>
                              <w:marBottom w:val="0"/>
                              <w:divBdr>
                                <w:top w:val="none" w:sz="0" w:space="0" w:color="auto"/>
                                <w:left w:val="none" w:sz="0" w:space="0" w:color="auto"/>
                                <w:bottom w:val="none" w:sz="0" w:space="0" w:color="auto"/>
                                <w:right w:val="none" w:sz="0" w:space="0" w:color="auto"/>
                              </w:divBdr>
                            </w:div>
                            <w:div w:id="1287466968">
                              <w:marLeft w:val="0"/>
                              <w:marRight w:val="0"/>
                              <w:marTop w:val="0"/>
                              <w:marBottom w:val="0"/>
                              <w:divBdr>
                                <w:top w:val="none" w:sz="0" w:space="0" w:color="auto"/>
                                <w:left w:val="none" w:sz="0" w:space="0" w:color="auto"/>
                                <w:bottom w:val="none" w:sz="0" w:space="0" w:color="auto"/>
                                <w:right w:val="none" w:sz="0" w:space="0" w:color="auto"/>
                              </w:divBdr>
                            </w:div>
                            <w:div w:id="392774582">
                              <w:marLeft w:val="0"/>
                              <w:marRight w:val="0"/>
                              <w:marTop w:val="0"/>
                              <w:marBottom w:val="0"/>
                              <w:divBdr>
                                <w:top w:val="none" w:sz="0" w:space="0" w:color="auto"/>
                                <w:left w:val="none" w:sz="0" w:space="0" w:color="auto"/>
                                <w:bottom w:val="none" w:sz="0" w:space="0" w:color="auto"/>
                                <w:right w:val="none" w:sz="0" w:space="0" w:color="auto"/>
                              </w:divBdr>
                            </w:div>
                            <w:div w:id="861819816">
                              <w:marLeft w:val="0"/>
                              <w:marRight w:val="0"/>
                              <w:marTop w:val="0"/>
                              <w:marBottom w:val="0"/>
                              <w:divBdr>
                                <w:top w:val="none" w:sz="0" w:space="0" w:color="auto"/>
                                <w:left w:val="none" w:sz="0" w:space="0" w:color="auto"/>
                                <w:bottom w:val="none" w:sz="0" w:space="0" w:color="auto"/>
                                <w:right w:val="none" w:sz="0" w:space="0" w:color="auto"/>
                              </w:divBdr>
                            </w:div>
                            <w:div w:id="38406105">
                              <w:marLeft w:val="0"/>
                              <w:marRight w:val="0"/>
                              <w:marTop w:val="0"/>
                              <w:marBottom w:val="0"/>
                              <w:divBdr>
                                <w:top w:val="none" w:sz="0" w:space="0" w:color="auto"/>
                                <w:left w:val="none" w:sz="0" w:space="0" w:color="auto"/>
                                <w:bottom w:val="none" w:sz="0" w:space="0" w:color="auto"/>
                                <w:right w:val="none" w:sz="0" w:space="0" w:color="auto"/>
                              </w:divBdr>
                            </w:div>
                            <w:div w:id="245191135">
                              <w:marLeft w:val="0"/>
                              <w:marRight w:val="0"/>
                              <w:marTop w:val="0"/>
                              <w:marBottom w:val="0"/>
                              <w:divBdr>
                                <w:top w:val="none" w:sz="0" w:space="0" w:color="auto"/>
                                <w:left w:val="none" w:sz="0" w:space="0" w:color="auto"/>
                                <w:bottom w:val="none" w:sz="0" w:space="0" w:color="auto"/>
                                <w:right w:val="none" w:sz="0" w:space="0" w:color="auto"/>
                              </w:divBdr>
                            </w:div>
                            <w:div w:id="1895460615">
                              <w:marLeft w:val="0"/>
                              <w:marRight w:val="0"/>
                              <w:marTop w:val="0"/>
                              <w:marBottom w:val="0"/>
                              <w:divBdr>
                                <w:top w:val="none" w:sz="0" w:space="0" w:color="auto"/>
                                <w:left w:val="none" w:sz="0" w:space="0" w:color="auto"/>
                                <w:bottom w:val="none" w:sz="0" w:space="0" w:color="auto"/>
                                <w:right w:val="none" w:sz="0" w:space="0" w:color="auto"/>
                              </w:divBdr>
                            </w:div>
                            <w:div w:id="198905928">
                              <w:marLeft w:val="0"/>
                              <w:marRight w:val="0"/>
                              <w:marTop w:val="0"/>
                              <w:marBottom w:val="0"/>
                              <w:divBdr>
                                <w:top w:val="none" w:sz="0" w:space="0" w:color="auto"/>
                                <w:left w:val="none" w:sz="0" w:space="0" w:color="auto"/>
                                <w:bottom w:val="none" w:sz="0" w:space="0" w:color="auto"/>
                                <w:right w:val="none" w:sz="0" w:space="0" w:color="auto"/>
                              </w:divBdr>
                            </w:div>
                            <w:div w:id="435685365">
                              <w:marLeft w:val="0"/>
                              <w:marRight w:val="0"/>
                              <w:marTop w:val="0"/>
                              <w:marBottom w:val="0"/>
                              <w:divBdr>
                                <w:top w:val="none" w:sz="0" w:space="0" w:color="auto"/>
                                <w:left w:val="none" w:sz="0" w:space="0" w:color="auto"/>
                                <w:bottom w:val="none" w:sz="0" w:space="0" w:color="auto"/>
                                <w:right w:val="none" w:sz="0" w:space="0" w:color="auto"/>
                              </w:divBdr>
                            </w:div>
                            <w:div w:id="1266495373">
                              <w:marLeft w:val="0"/>
                              <w:marRight w:val="0"/>
                              <w:marTop w:val="0"/>
                              <w:marBottom w:val="0"/>
                              <w:divBdr>
                                <w:top w:val="none" w:sz="0" w:space="0" w:color="auto"/>
                                <w:left w:val="none" w:sz="0" w:space="0" w:color="auto"/>
                                <w:bottom w:val="none" w:sz="0" w:space="0" w:color="auto"/>
                                <w:right w:val="none" w:sz="0" w:space="0" w:color="auto"/>
                              </w:divBdr>
                            </w:div>
                            <w:div w:id="1082216626">
                              <w:marLeft w:val="0"/>
                              <w:marRight w:val="0"/>
                              <w:marTop w:val="0"/>
                              <w:marBottom w:val="0"/>
                              <w:divBdr>
                                <w:top w:val="none" w:sz="0" w:space="0" w:color="auto"/>
                                <w:left w:val="none" w:sz="0" w:space="0" w:color="auto"/>
                                <w:bottom w:val="none" w:sz="0" w:space="0" w:color="auto"/>
                                <w:right w:val="none" w:sz="0" w:space="0" w:color="auto"/>
                              </w:divBdr>
                            </w:div>
                            <w:div w:id="1633318495">
                              <w:marLeft w:val="0"/>
                              <w:marRight w:val="0"/>
                              <w:marTop w:val="0"/>
                              <w:marBottom w:val="0"/>
                              <w:divBdr>
                                <w:top w:val="none" w:sz="0" w:space="0" w:color="auto"/>
                                <w:left w:val="none" w:sz="0" w:space="0" w:color="auto"/>
                                <w:bottom w:val="none" w:sz="0" w:space="0" w:color="auto"/>
                                <w:right w:val="none" w:sz="0" w:space="0" w:color="auto"/>
                              </w:divBdr>
                            </w:div>
                            <w:div w:id="862943183">
                              <w:marLeft w:val="0"/>
                              <w:marRight w:val="0"/>
                              <w:marTop w:val="0"/>
                              <w:marBottom w:val="0"/>
                              <w:divBdr>
                                <w:top w:val="none" w:sz="0" w:space="0" w:color="auto"/>
                                <w:left w:val="none" w:sz="0" w:space="0" w:color="auto"/>
                                <w:bottom w:val="none" w:sz="0" w:space="0" w:color="auto"/>
                                <w:right w:val="none" w:sz="0" w:space="0" w:color="auto"/>
                              </w:divBdr>
                            </w:div>
                            <w:div w:id="1911764296">
                              <w:marLeft w:val="0"/>
                              <w:marRight w:val="0"/>
                              <w:marTop w:val="0"/>
                              <w:marBottom w:val="0"/>
                              <w:divBdr>
                                <w:top w:val="none" w:sz="0" w:space="0" w:color="auto"/>
                                <w:left w:val="none" w:sz="0" w:space="0" w:color="auto"/>
                                <w:bottom w:val="none" w:sz="0" w:space="0" w:color="auto"/>
                                <w:right w:val="none" w:sz="0" w:space="0" w:color="auto"/>
                              </w:divBdr>
                            </w:div>
                            <w:div w:id="902983518">
                              <w:marLeft w:val="0"/>
                              <w:marRight w:val="0"/>
                              <w:marTop w:val="0"/>
                              <w:marBottom w:val="0"/>
                              <w:divBdr>
                                <w:top w:val="none" w:sz="0" w:space="0" w:color="auto"/>
                                <w:left w:val="none" w:sz="0" w:space="0" w:color="auto"/>
                                <w:bottom w:val="none" w:sz="0" w:space="0" w:color="auto"/>
                                <w:right w:val="none" w:sz="0" w:space="0" w:color="auto"/>
                              </w:divBdr>
                            </w:div>
                            <w:div w:id="130710359">
                              <w:marLeft w:val="0"/>
                              <w:marRight w:val="0"/>
                              <w:marTop w:val="0"/>
                              <w:marBottom w:val="0"/>
                              <w:divBdr>
                                <w:top w:val="none" w:sz="0" w:space="0" w:color="auto"/>
                                <w:left w:val="none" w:sz="0" w:space="0" w:color="auto"/>
                                <w:bottom w:val="none" w:sz="0" w:space="0" w:color="auto"/>
                                <w:right w:val="none" w:sz="0" w:space="0" w:color="auto"/>
                              </w:divBdr>
                            </w:div>
                            <w:div w:id="2019845958">
                              <w:marLeft w:val="0"/>
                              <w:marRight w:val="0"/>
                              <w:marTop w:val="0"/>
                              <w:marBottom w:val="0"/>
                              <w:divBdr>
                                <w:top w:val="none" w:sz="0" w:space="0" w:color="auto"/>
                                <w:left w:val="none" w:sz="0" w:space="0" w:color="auto"/>
                                <w:bottom w:val="none" w:sz="0" w:space="0" w:color="auto"/>
                                <w:right w:val="none" w:sz="0" w:space="0" w:color="auto"/>
                              </w:divBdr>
                            </w:div>
                            <w:div w:id="195582318">
                              <w:marLeft w:val="0"/>
                              <w:marRight w:val="0"/>
                              <w:marTop w:val="0"/>
                              <w:marBottom w:val="0"/>
                              <w:divBdr>
                                <w:top w:val="none" w:sz="0" w:space="0" w:color="auto"/>
                                <w:left w:val="none" w:sz="0" w:space="0" w:color="auto"/>
                                <w:bottom w:val="none" w:sz="0" w:space="0" w:color="auto"/>
                                <w:right w:val="none" w:sz="0" w:space="0" w:color="auto"/>
                              </w:divBdr>
                            </w:div>
                            <w:div w:id="1991715046">
                              <w:marLeft w:val="0"/>
                              <w:marRight w:val="0"/>
                              <w:marTop w:val="0"/>
                              <w:marBottom w:val="0"/>
                              <w:divBdr>
                                <w:top w:val="none" w:sz="0" w:space="0" w:color="auto"/>
                                <w:left w:val="none" w:sz="0" w:space="0" w:color="auto"/>
                                <w:bottom w:val="none" w:sz="0" w:space="0" w:color="auto"/>
                                <w:right w:val="none" w:sz="0" w:space="0" w:color="auto"/>
                              </w:divBdr>
                            </w:div>
                            <w:div w:id="513803871">
                              <w:marLeft w:val="0"/>
                              <w:marRight w:val="0"/>
                              <w:marTop w:val="0"/>
                              <w:marBottom w:val="0"/>
                              <w:divBdr>
                                <w:top w:val="none" w:sz="0" w:space="0" w:color="auto"/>
                                <w:left w:val="none" w:sz="0" w:space="0" w:color="auto"/>
                                <w:bottom w:val="none" w:sz="0" w:space="0" w:color="auto"/>
                                <w:right w:val="none" w:sz="0" w:space="0" w:color="auto"/>
                              </w:divBdr>
                            </w:div>
                            <w:div w:id="1957566236">
                              <w:marLeft w:val="0"/>
                              <w:marRight w:val="0"/>
                              <w:marTop w:val="0"/>
                              <w:marBottom w:val="0"/>
                              <w:divBdr>
                                <w:top w:val="none" w:sz="0" w:space="0" w:color="auto"/>
                                <w:left w:val="none" w:sz="0" w:space="0" w:color="auto"/>
                                <w:bottom w:val="none" w:sz="0" w:space="0" w:color="auto"/>
                                <w:right w:val="none" w:sz="0" w:space="0" w:color="auto"/>
                              </w:divBdr>
                            </w:div>
                            <w:div w:id="364062760">
                              <w:marLeft w:val="0"/>
                              <w:marRight w:val="0"/>
                              <w:marTop w:val="0"/>
                              <w:marBottom w:val="0"/>
                              <w:divBdr>
                                <w:top w:val="none" w:sz="0" w:space="0" w:color="auto"/>
                                <w:left w:val="none" w:sz="0" w:space="0" w:color="auto"/>
                                <w:bottom w:val="none" w:sz="0" w:space="0" w:color="auto"/>
                                <w:right w:val="none" w:sz="0" w:space="0" w:color="auto"/>
                              </w:divBdr>
                            </w:div>
                            <w:div w:id="662707723">
                              <w:marLeft w:val="0"/>
                              <w:marRight w:val="0"/>
                              <w:marTop w:val="0"/>
                              <w:marBottom w:val="0"/>
                              <w:divBdr>
                                <w:top w:val="none" w:sz="0" w:space="0" w:color="auto"/>
                                <w:left w:val="none" w:sz="0" w:space="0" w:color="auto"/>
                                <w:bottom w:val="none" w:sz="0" w:space="0" w:color="auto"/>
                                <w:right w:val="none" w:sz="0" w:space="0" w:color="auto"/>
                              </w:divBdr>
                            </w:div>
                            <w:div w:id="406155206">
                              <w:marLeft w:val="0"/>
                              <w:marRight w:val="0"/>
                              <w:marTop w:val="0"/>
                              <w:marBottom w:val="0"/>
                              <w:divBdr>
                                <w:top w:val="none" w:sz="0" w:space="0" w:color="auto"/>
                                <w:left w:val="none" w:sz="0" w:space="0" w:color="auto"/>
                                <w:bottom w:val="none" w:sz="0" w:space="0" w:color="auto"/>
                                <w:right w:val="none" w:sz="0" w:space="0" w:color="auto"/>
                              </w:divBdr>
                            </w:div>
                            <w:div w:id="573199168">
                              <w:marLeft w:val="0"/>
                              <w:marRight w:val="0"/>
                              <w:marTop w:val="0"/>
                              <w:marBottom w:val="0"/>
                              <w:divBdr>
                                <w:top w:val="none" w:sz="0" w:space="0" w:color="auto"/>
                                <w:left w:val="none" w:sz="0" w:space="0" w:color="auto"/>
                                <w:bottom w:val="none" w:sz="0" w:space="0" w:color="auto"/>
                                <w:right w:val="none" w:sz="0" w:space="0" w:color="auto"/>
                              </w:divBdr>
                            </w:div>
                            <w:div w:id="1530871394">
                              <w:marLeft w:val="0"/>
                              <w:marRight w:val="0"/>
                              <w:marTop w:val="0"/>
                              <w:marBottom w:val="0"/>
                              <w:divBdr>
                                <w:top w:val="none" w:sz="0" w:space="0" w:color="auto"/>
                                <w:left w:val="none" w:sz="0" w:space="0" w:color="auto"/>
                                <w:bottom w:val="none" w:sz="0" w:space="0" w:color="auto"/>
                                <w:right w:val="none" w:sz="0" w:space="0" w:color="auto"/>
                              </w:divBdr>
                            </w:div>
                            <w:div w:id="1254969387">
                              <w:marLeft w:val="0"/>
                              <w:marRight w:val="0"/>
                              <w:marTop w:val="0"/>
                              <w:marBottom w:val="0"/>
                              <w:divBdr>
                                <w:top w:val="none" w:sz="0" w:space="0" w:color="auto"/>
                                <w:left w:val="none" w:sz="0" w:space="0" w:color="auto"/>
                                <w:bottom w:val="none" w:sz="0" w:space="0" w:color="auto"/>
                                <w:right w:val="none" w:sz="0" w:space="0" w:color="auto"/>
                              </w:divBdr>
                            </w:div>
                            <w:div w:id="532574805">
                              <w:marLeft w:val="0"/>
                              <w:marRight w:val="0"/>
                              <w:marTop w:val="0"/>
                              <w:marBottom w:val="0"/>
                              <w:divBdr>
                                <w:top w:val="none" w:sz="0" w:space="0" w:color="auto"/>
                                <w:left w:val="none" w:sz="0" w:space="0" w:color="auto"/>
                                <w:bottom w:val="none" w:sz="0" w:space="0" w:color="auto"/>
                                <w:right w:val="none" w:sz="0" w:space="0" w:color="auto"/>
                              </w:divBdr>
                            </w:div>
                            <w:div w:id="1510950723">
                              <w:marLeft w:val="0"/>
                              <w:marRight w:val="0"/>
                              <w:marTop w:val="0"/>
                              <w:marBottom w:val="0"/>
                              <w:divBdr>
                                <w:top w:val="none" w:sz="0" w:space="0" w:color="auto"/>
                                <w:left w:val="none" w:sz="0" w:space="0" w:color="auto"/>
                                <w:bottom w:val="none" w:sz="0" w:space="0" w:color="auto"/>
                                <w:right w:val="none" w:sz="0" w:space="0" w:color="auto"/>
                              </w:divBdr>
                            </w:div>
                            <w:div w:id="1963807261">
                              <w:marLeft w:val="0"/>
                              <w:marRight w:val="0"/>
                              <w:marTop w:val="0"/>
                              <w:marBottom w:val="0"/>
                              <w:divBdr>
                                <w:top w:val="none" w:sz="0" w:space="0" w:color="auto"/>
                                <w:left w:val="none" w:sz="0" w:space="0" w:color="auto"/>
                                <w:bottom w:val="none" w:sz="0" w:space="0" w:color="auto"/>
                                <w:right w:val="none" w:sz="0" w:space="0" w:color="auto"/>
                              </w:divBdr>
                            </w:div>
                            <w:div w:id="1416591142">
                              <w:marLeft w:val="0"/>
                              <w:marRight w:val="0"/>
                              <w:marTop w:val="0"/>
                              <w:marBottom w:val="0"/>
                              <w:divBdr>
                                <w:top w:val="none" w:sz="0" w:space="0" w:color="auto"/>
                                <w:left w:val="none" w:sz="0" w:space="0" w:color="auto"/>
                                <w:bottom w:val="none" w:sz="0" w:space="0" w:color="auto"/>
                                <w:right w:val="none" w:sz="0" w:space="0" w:color="auto"/>
                              </w:divBdr>
                            </w:div>
                            <w:div w:id="515926416">
                              <w:marLeft w:val="0"/>
                              <w:marRight w:val="0"/>
                              <w:marTop w:val="0"/>
                              <w:marBottom w:val="0"/>
                              <w:divBdr>
                                <w:top w:val="none" w:sz="0" w:space="0" w:color="auto"/>
                                <w:left w:val="none" w:sz="0" w:space="0" w:color="auto"/>
                                <w:bottom w:val="none" w:sz="0" w:space="0" w:color="auto"/>
                                <w:right w:val="none" w:sz="0" w:space="0" w:color="auto"/>
                              </w:divBdr>
                            </w:div>
                            <w:div w:id="1731073602">
                              <w:marLeft w:val="0"/>
                              <w:marRight w:val="0"/>
                              <w:marTop w:val="0"/>
                              <w:marBottom w:val="0"/>
                              <w:divBdr>
                                <w:top w:val="none" w:sz="0" w:space="0" w:color="auto"/>
                                <w:left w:val="none" w:sz="0" w:space="0" w:color="auto"/>
                                <w:bottom w:val="none" w:sz="0" w:space="0" w:color="auto"/>
                                <w:right w:val="none" w:sz="0" w:space="0" w:color="auto"/>
                              </w:divBdr>
                            </w:div>
                            <w:div w:id="54083994">
                              <w:marLeft w:val="0"/>
                              <w:marRight w:val="0"/>
                              <w:marTop w:val="0"/>
                              <w:marBottom w:val="0"/>
                              <w:divBdr>
                                <w:top w:val="none" w:sz="0" w:space="0" w:color="auto"/>
                                <w:left w:val="none" w:sz="0" w:space="0" w:color="auto"/>
                                <w:bottom w:val="none" w:sz="0" w:space="0" w:color="auto"/>
                                <w:right w:val="none" w:sz="0" w:space="0" w:color="auto"/>
                              </w:divBdr>
                            </w:div>
                            <w:div w:id="1494642051">
                              <w:marLeft w:val="0"/>
                              <w:marRight w:val="0"/>
                              <w:marTop w:val="0"/>
                              <w:marBottom w:val="0"/>
                              <w:divBdr>
                                <w:top w:val="none" w:sz="0" w:space="0" w:color="auto"/>
                                <w:left w:val="none" w:sz="0" w:space="0" w:color="auto"/>
                                <w:bottom w:val="none" w:sz="0" w:space="0" w:color="auto"/>
                                <w:right w:val="none" w:sz="0" w:space="0" w:color="auto"/>
                              </w:divBdr>
                            </w:div>
                            <w:div w:id="1946302111">
                              <w:marLeft w:val="0"/>
                              <w:marRight w:val="0"/>
                              <w:marTop w:val="0"/>
                              <w:marBottom w:val="0"/>
                              <w:divBdr>
                                <w:top w:val="none" w:sz="0" w:space="0" w:color="auto"/>
                                <w:left w:val="none" w:sz="0" w:space="0" w:color="auto"/>
                                <w:bottom w:val="none" w:sz="0" w:space="0" w:color="auto"/>
                                <w:right w:val="none" w:sz="0" w:space="0" w:color="auto"/>
                              </w:divBdr>
                            </w:div>
                            <w:div w:id="84962930">
                              <w:marLeft w:val="0"/>
                              <w:marRight w:val="0"/>
                              <w:marTop w:val="0"/>
                              <w:marBottom w:val="0"/>
                              <w:divBdr>
                                <w:top w:val="none" w:sz="0" w:space="0" w:color="auto"/>
                                <w:left w:val="none" w:sz="0" w:space="0" w:color="auto"/>
                                <w:bottom w:val="none" w:sz="0" w:space="0" w:color="auto"/>
                                <w:right w:val="none" w:sz="0" w:space="0" w:color="auto"/>
                              </w:divBdr>
                            </w:div>
                            <w:div w:id="10968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906</Words>
  <Characters>5167</Characters>
  <Application>Microsoft Office Word</Application>
  <DocSecurity>0</DocSecurity>
  <Lines>43</Lines>
  <Paragraphs>12</Paragraphs>
  <ScaleCrop>false</ScaleCrop>
  <Company>Hfzq LTD.</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余富材</dc:creator>
  <cp:lastModifiedBy>余富材</cp:lastModifiedBy>
  <cp:revision>1</cp:revision>
  <dcterms:created xsi:type="dcterms:W3CDTF">2021-04-20T01:43:00Z</dcterms:created>
  <dcterms:modified xsi:type="dcterms:W3CDTF">2021-04-20T01:54:00Z</dcterms:modified>
</cp:coreProperties>
</file>